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ind w:firstLine="533"/>
        <w:spacing w:before="293" w:line="191" w:lineRule="auto"/>
        <w:rPr>
          <w:rFonts w:ascii="Microsoft YaHei" w:hAnsi="Microsoft YaHei" w:eastAsia="Microsoft YaHei" w:cs="Microsoft YaHei"/>
          <w:sz w:val="16"/>
          <w:szCs w:val="16"/>
        </w:rPr>
      </w:pPr>
      <w:r>
        <w:drawing>
          <wp:anchor distT="0" distB="0" distL="0" distR="0" simplePos="0" relativeHeight="251659264" behindDoc="0" locked="0" layoutInCell="0" allowOverlap="1">
            <wp:simplePos x="0" y="0"/>
            <wp:positionH relativeFrom="page">
              <wp:posOffset>436625</wp:posOffset>
            </wp:positionH>
            <wp:positionV relativeFrom="page">
              <wp:posOffset>1891969</wp:posOffset>
            </wp:positionV>
            <wp:extent cx="6695948" cy="6832"/>
            <wp:effectExtent l="0" t="0" r="0" b="0"/>
            <wp:wrapNone/>
            <wp:docPr id="1" name="IM 1"/>
            <wp:cNvGraphicFramePr/>
            <a:graphic>
              <a:graphicData uri="http://schemas.openxmlformats.org/drawingml/2006/picture">
                <pic:pic>
                  <pic:nvPicPr>
                    <pic:cNvPr id="1" name="IM 1"/>
                    <pic:cNvPicPr/>
                  </pic:nvPicPr>
                  <pic:blipFill>
                    <a:blip r:embed="rId1"/>
                    <a:stretch>
                      <a:fillRect/>
                    </a:stretch>
                  </pic:blipFill>
                  <pic:spPr>
                    <a:xfrm rot="0">
                      <a:off x="0" y="0"/>
                      <a:ext cx="6695948" cy="6832"/>
                    </a:xfrm>
                    <a:prstGeom prst="rect">
                      <a:avLst/>
                    </a:prstGeom>
                  </pic:spPr>
                </pic:pic>
              </a:graphicData>
            </a:graphic>
          </wp:anchor>
        </w:drawing>
      </w:r>
      <w:r>
        <w:drawing>
          <wp:anchor distT="0" distB="0" distL="0" distR="0" simplePos="0" relativeHeight="251658240" behindDoc="0" locked="0" layoutInCell="0" allowOverlap="1">
            <wp:simplePos x="0" y="0"/>
            <wp:positionH relativeFrom="page">
              <wp:posOffset>368299</wp:posOffset>
            </wp:positionH>
            <wp:positionV relativeFrom="page">
              <wp:posOffset>504951</wp:posOffset>
            </wp:positionV>
            <wp:extent cx="3265982" cy="512444"/>
            <wp:effectExtent l="0" t="0" r="0" b="0"/>
            <wp:wrapNone/>
            <wp:docPr id="2" name="IM 2"/>
            <wp:cNvGraphicFramePr/>
            <a:graphic>
              <a:graphicData uri="http://schemas.openxmlformats.org/drawingml/2006/picture">
                <pic:pic>
                  <pic:nvPicPr>
                    <pic:cNvPr id="2" name="IM 2"/>
                    <pic:cNvPicPr/>
                  </pic:nvPicPr>
                  <pic:blipFill>
                    <a:blip r:embed="rId2"/>
                    <a:stretch>
                      <a:fillRect/>
                    </a:stretch>
                  </pic:blipFill>
                  <pic:spPr>
                    <a:xfrm rot="0">
                      <a:off x="0" y="0"/>
                      <a:ext cx="3265982" cy="512444"/>
                    </a:xfrm>
                    <a:prstGeom prst="rect">
                      <a:avLst/>
                    </a:prstGeom>
                  </pic:spPr>
                </pic:pic>
              </a:graphicData>
            </a:graphic>
          </wp:anchor>
        </w:drawing>
      </w:r>
      <w:r>
        <w:rPr>
          <w:rFonts w:ascii="Arial" w:hAnsi="Arial" w:eastAsia="Arial" w:cs="Arial"/>
          <w:sz w:val="16"/>
          <w:szCs w:val="16"/>
          <w:spacing w:val="-1"/>
          <w:position w:val="1"/>
        </w:rPr>
        <w:t>2022/4/27</w:t>
      </w:r>
      <w:r>
        <w:rPr>
          <w:rFonts w:ascii="Arial" w:hAnsi="Arial" w:eastAsia="Arial" w:cs="Arial"/>
          <w:sz w:val="16"/>
          <w:szCs w:val="16"/>
          <w:spacing w:val="2"/>
          <w:position w:val="1"/>
        </w:rPr>
        <w:t>                 </w:t>
      </w:r>
      <w:r>
        <w:rPr>
          <w:rFonts w:ascii="Microsoft YaHei" w:hAnsi="Microsoft YaHei" w:eastAsia="Microsoft YaHei" w:cs="Microsoft YaHei"/>
          <w:sz w:val="16"/>
          <w:szCs w:val="16"/>
          <w:spacing w:val="-1"/>
        </w:rPr>
        <w:t>推动改革创新</w:t>
      </w:r>
      <w:r>
        <w:rPr>
          <w:rFonts w:ascii="Microsoft YaHei" w:hAnsi="Microsoft YaHei" w:eastAsia="Microsoft YaHei" w:cs="Microsoft YaHei"/>
          <w:sz w:val="16"/>
          <w:szCs w:val="16"/>
        </w:rPr>
        <w:t> </w:t>
      </w:r>
      <w:r>
        <w:rPr>
          <w:rFonts w:ascii="Microsoft YaHei" w:hAnsi="Microsoft YaHei" w:eastAsia="Microsoft YaHei" w:cs="Microsoft YaHei"/>
          <w:sz w:val="16"/>
          <w:szCs w:val="16"/>
          <w:spacing w:val="-1"/>
        </w:rPr>
        <w:t>提高服务效能</w:t>
      </w:r>
      <w:r>
        <w:rPr>
          <w:rFonts w:ascii="Microsoft YaHei" w:hAnsi="Microsoft YaHei" w:eastAsia="Microsoft YaHei" w:cs="Microsoft YaHei"/>
          <w:sz w:val="16"/>
          <w:szCs w:val="16"/>
        </w:rPr>
        <w:t> </w:t>
      </w:r>
      <w:r>
        <w:rPr>
          <w:rFonts w:ascii="Microsoft YaHei" w:hAnsi="Microsoft YaHei" w:eastAsia="Microsoft YaHei" w:cs="Microsoft YaHei"/>
          <w:sz w:val="16"/>
          <w:szCs w:val="16"/>
          <w:spacing w:val="-1"/>
        </w:rPr>
        <w:t>实现企业会计准则体系建设与实施高质量发展</w:t>
      </w:r>
      <w:r>
        <w:rPr>
          <w:rFonts w:ascii="Arial" w:hAnsi="Arial" w:eastAsia="Arial" w:cs="Arial"/>
          <w:sz w:val="16"/>
          <w:szCs w:val="16"/>
          <w:spacing w:val="-1"/>
        </w:rPr>
        <w:t>——</w:t>
      </w:r>
      <w:r>
        <w:rPr>
          <w:rFonts w:ascii="Arial" w:hAnsi="Arial" w:eastAsia="Arial" w:cs="Arial"/>
          <w:sz w:val="16"/>
          <w:szCs w:val="16"/>
          <w:spacing w:val="34"/>
        </w:rPr>
        <w:t> </w:t>
      </w:r>
      <w:r>
        <w:rPr>
          <w:rFonts w:ascii="Microsoft YaHei" w:hAnsi="Microsoft YaHei" w:eastAsia="Microsoft YaHei" w:cs="Microsoft YaHei"/>
          <w:sz w:val="16"/>
          <w:szCs w:val="16"/>
          <w:spacing w:val="-1"/>
        </w:rPr>
        <w:t>《会计改革与发展</w:t>
      </w:r>
      <w:r>
        <w:rPr>
          <w:rFonts w:ascii="Arial" w:hAnsi="Arial" w:eastAsia="Arial" w:cs="Arial"/>
          <w:sz w:val="16"/>
          <w:szCs w:val="16"/>
          <w:spacing w:val="-1"/>
        </w:rPr>
        <w:t>“</w:t>
      </w:r>
      <w:r>
        <w:rPr>
          <w:rFonts w:ascii="Microsoft YaHei" w:hAnsi="Microsoft YaHei" w:eastAsia="Microsoft YaHei" w:cs="Microsoft YaHei"/>
          <w:sz w:val="16"/>
          <w:szCs w:val="16"/>
          <w:spacing w:val="-1"/>
        </w:rPr>
        <w:t>十四五</w:t>
      </w:r>
      <w:r>
        <w:rPr>
          <w:rFonts w:ascii="Arial" w:hAnsi="Arial" w:eastAsia="Arial" w:cs="Arial"/>
          <w:sz w:val="16"/>
          <w:szCs w:val="16"/>
          <w:spacing w:val="-1"/>
        </w:rPr>
        <w:t>”</w:t>
      </w:r>
      <w:r>
        <w:rPr>
          <w:rFonts w:ascii="Microsoft YaHei" w:hAnsi="Microsoft YaHei" w:eastAsia="Microsoft YaHei" w:cs="Microsoft YaHei"/>
          <w:sz w:val="16"/>
          <w:szCs w:val="16"/>
          <w:spacing w:val="-1"/>
        </w:rPr>
        <w:t>规划纲要》系列解读之三</w:t>
      </w:r>
    </w:p>
    <w:p>
      <w:pPr>
        <w:spacing w:line="369" w:lineRule="auto"/>
        <w:rPr>
          <w:rFonts w:ascii="SimSun"/>
          <w:sz w:val="21"/>
        </w:rPr>
      </w:pPr>
      <w:r/>
    </w:p>
    <w:p>
      <w:pPr>
        <w:ind w:firstLine="9228"/>
        <w:spacing w:before="141" w:line="180" w:lineRule="auto"/>
        <w:rPr>
          <w:rFonts w:ascii="Microsoft YaHei" w:hAnsi="Microsoft YaHei" w:eastAsia="Microsoft YaHei" w:cs="Microsoft YaHei"/>
          <w:sz w:val="33"/>
          <w:szCs w:val="33"/>
        </w:rPr>
      </w:pPr>
      <w:r>
        <w:rPr>
          <w:rFonts w:ascii="Microsoft YaHei" w:hAnsi="Microsoft YaHei" w:eastAsia="Microsoft YaHei" w:cs="Microsoft YaHei"/>
          <w:sz w:val="33"/>
          <w:szCs w:val="33"/>
          <w:color w:val="002973"/>
          <w:spacing w:val="2"/>
        </w:rPr>
        <w:t>会计司</w:t>
      </w:r>
    </w:p>
    <w:p>
      <w:pPr>
        <w:rPr/>
      </w:pPr>
      <w:r/>
    </w:p>
    <w:p>
      <w:pPr>
        <w:spacing w:line="125" w:lineRule="exact"/>
        <w:rPr/>
      </w:pPr>
      <w:r/>
    </w:p>
    <w:p>
      <w:pPr>
        <w:sectPr>
          <w:pgSz w:w="11900" w:h="16839"/>
          <w:pgMar w:top="0" w:right="0" w:bottom="0" w:left="0" w:header="0" w:footer="0" w:gutter="0"/>
          <w:cols w:equalWidth="0" w:num="1">
            <w:col w:w="11900" w:space="0"/>
          </w:cols>
        </w:sectPr>
        <w:rPr/>
      </w:pPr>
    </w:p>
    <w:p>
      <w:pPr>
        <w:ind w:firstLine="803"/>
        <w:spacing w:before="147" w:line="180"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ABABAB"/>
          <w:spacing w:val="-1"/>
        </w:rPr>
        <w:t>2022年04月27日</w:t>
      </w:r>
      <w:r>
        <w:rPr>
          <w:rFonts w:ascii="Microsoft YaHei" w:hAnsi="Microsoft YaHei" w:eastAsia="Microsoft YaHei" w:cs="Microsoft YaHei"/>
          <w:sz w:val="15"/>
          <w:szCs w:val="15"/>
          <w:color w:val="ABABAB"/>
          <w:spacing w:val="6"/>
        </w:rPr>
        <w:t>  </w:t>
      </w:r>
      <w:r>
        <w:rPr>
          <w:rFonts w:ascii="Microsoft YaHei" w:hAnsi="Microsoft YaHei" w:eastAsia="Microsoft YaHei" w:cs="Microsoft YaHei"/>
          <w:sz w:val="15"/>
          <w:szCs w:val="15"/>
          <w:color w:val="ABABAB"/>
          <w:spacing w:val="-1"/>
        </w:rPr>
        <w:t>星期三</w:t>
      </w:r>
    </w:p>
    <w:p>
      <w:pPr>
        <w:spacing w:line="42" w:lineRule="exact"/>
        <w:rPr/>
      </w:pPr>
      <w:r/>
    </w:p>
    <w:p>
      <w:pPr>
        <w:spacing w:line="14" w:lineRule="auto"/>
        <w:rPr>
          <w:rFonts w:ascii="SimSun"/>
          <w:sz w:val="2"/>
        </w:rPr>
      </w:pPr>
      <w:r>
        <w:rPr>
          <w:rFonts w:ascii="SimSun" w:hAnsi="SimSun" w:eastAsia="SimSun" w:cs="SimSun"/>
          <w:sz w:val="2"/>
          <w:szCs w:val="2"/>
        </w:rPr>
        <w:br w:type="column"/>
      </w:r>
    </w:p>
    <w:p>
      <w:pPr>
        <w:spacing w:line="58" w:lineRule="exact"/>
        <w:rPr/>
      </w:pPr>
      <w:r/>
    </w:p>
    <w:tbl>
      <w:tblPr>
        <w:tblStyle w:val="2"/>
        <w:tblW w:w="1786" w:type="dxa"/>
        <w:tblInd w:w="638" w:type="dxa"/>
        <w:tblLayout w:type="fixed"/>
        <w:tblBorders>
          <w:left w:val="single" w:color="64A0D2" w:sz="4" w:space="0"/>
          <w:bottom w:val="single" w:color="64A0D2" w:sz="4" w:space="0"/>
          <w:right w:val="single" w:color="64A0D2" w:sz="4" w:space="0"/>
          <w:top w:val="single" w:color="64A0D2" w:sz="4" w:space="0"/>
        </w:tblBorders>
      </w:tblPr>
      <w:tblGrid>
        <w:gridCol w:w="1786"/>
      </w:tblGrid>
      <w:tr>
        <w:trPr>
          <w:trHeight w:val="281" w:hRule="atLeast"/>
        </w:trPr>
        <w:tc>
          <w:tcPr>
            <w:tcW w:w="1786" w:type="dxa"/>
            <w:vAlign w:val="top"/>
          </w:tcPr>
          <w:p>
            <w:pPr>
              <w:ind w:firstLine="78"/>
              <w:spacing w:before="71"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ABABAB"/>
                <w:spacing w:val="2"/>
              </w:rPr>
              <w:t>请输入关键字</w:t>
            </w:r>
          </w:p>
        </w:tc>
      </w:tr>
    </w:tbl>
    <w:p>
      <w:pPr>
        <w:spacing w:line="21" w:lineRule="exact"/>
        <w:rPr>
          <w:rFonts w:ascii="SimSun"/>
          <w:sz w:val="2"/>
        </w:rPr>
      </w:pPr>
      <w:r/>
    </w:p>
    <w:p>
      <w:pPr>
        <w:spacing w:line="14" w:lineRule="auto"/>
        <w:rPr>
          <w:rFonts w:ascii="SimSun"/>
          <w:sz w:val="2"/>
        </w:rPr>
      </w:pPr>
      <w:r>
        <w:rPr>
          <w:rFonts w:ascii="SimSun" w:hAnsi="SimSun" w:eastAsia="SimSun" w:cs="SimSun"/>
          <w:sz w:val="2"/>
          <w:szCs w:val="2"/>
        </w:rPr>
        <w:br w:type="column"/>
      </w:r>
    </w:p>
    <w:p>
      <w:pPr>
        <w:spacing w:line="58" w:lineRule="exact"/>
        <w:rPr/>
      </w:pPr>
      <w:r/>
    </w:p>
    <w:tbl>
      <w:tblPr>
        <w:tblStyle w:val="2"/>
        <w:tblW w:w="1733" w:type="dxa"/>
        <w:tblInd w:w="14" w:type="dxa"/>
        <w:tblLayout w:type="fixed"/>
        <w:tblBorders>
          <w:left w:val="single" w:color="64A0D2" w:sz="4" w:space="0"/>
          <w:bottom w:val="single" w:color="64A0D2" w:sz="4" w:space="0"/>
          <w:right w:val="single" w:color="64A0D2" w:sz="4" w:space="0"/>
          <w:top w:val="single" w:color="64A0D2" w:sz="4" w:space="0"/>
        </w:tblBorders>
      </w:tblPr>
      <w:tblGrid>
        <w:gridCol w:w="1733"/>
      </w:tblGrid>
      <w:tr>
        <w:trPr>
          <w:trHeight w:val="301" w:hRule="atLeast"/>
        </w:trPr>
        <w:tc>
          <w:tcPr>
            <w:shd w:val="clear" w:fill="FFFFFF"/>
            <w:tcW w:w="1733" w:type="dxa"/>
            <w:vAlign w:val="top"/>
          </w:tcPr>
          <w:p>
            <w:pPr>
              <w:ind w:firstLine="109"/>
              <w:spacing w:before="78" w:line="180"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ABABAB"/>
              </w:rPr>
              <w:t>会计司</w:t>
            </w:r>
          </w:p>
        </w:tc>
      </w:tr>
    </w:tbl>
    <w:p>
      <w:pPr>
        <w:spacing w:line="14" w:lineRule="auto"/>
        <w:rPr>
          <w:rFonts w:ascii="SimSun"/>
          <w:sz w:val="2"/>
        </w:rPr>
      </w:pPr>
      <w:r/>
    </w:p>
    <w:p>
      <w:pPr>
        <w:spacing w:line="14" w:lineRule="auto"/>
        <w:rPr>
          <w:rFonts w:ascii="SimSun"/>
          <w:sz w:val="2"/>
        </w:rPr>
      </w:pPr>
      <w:r>
        <w:rPr>
          <w:rFonts w:ascii="SimSun" w:hAnsi="SimSun" w:eastAsia="SimSun" w:cs="SimSun"/>
          <w:sz w:val="2"/>
          <w:szCs w:val="2"/>
        </w:rPr>
        <w:br w:type="column"/>
      </w:r>
    </w:p>
    <w:p>
      <w:pPr>
        <w:ind w:firstLine="109"/>
        <w:spacing w:before="80" w:line="301" w:lineRule="exact"/>
        <w:rPr>
          <w:rFonts w:ascii="Microsoft YaHei" w:hAnsi="Microsoft YaHei" w:eastAsia="Microsoft YaHei" w:cs="Microsoft YaHei"/>
          <w:sz w:val="15"/>
          <w:szCs w:val="15"/>
        </w:rPr>
      </w:pPr>
      <w:hyperlink w:history="true" r:id="rId3">
        <w:r>
          <w:rPr>
            <w:shd w:val="clear" w:fill="FFFFFE"/>
            <w:rFonts w:ascii="Microsoft YaHei" w:hAnsi="Microsoft YaHei" w:eastAsia="Microsoft YaHei" w:cs="Microsoft YaHei"/>
            <w:sz w:val="15"/>
            <w:szCs w:val="15"/>
            <w:color w:val="ABABAB"/>
            <w:spacing w:val="-1"/>
            <w:position w:val="3"/>
          </w:rPr>
          <w:t>搜索</w:t>
        </w:r>
      </w:hyperlink>
    </w:p>
    <w:p>
      <w:pPr>
        <w:spacing w:line="14" w:lineRule="auto"/>
        <w:rPr>
          <w:rFonts w:ascii="SimSun"/>
          <w:sz w:val="2"/>
        </w:rPr>
      </w:pPr>
      <w:r>
        <w:rPr>
          <w:rFonts w:ascii="SimSun" w:hAnsi="SimSun" w:eastAsia="SimSun" w:cs="SimSun"/>
          <w:sz w:val="2"/>
          <w:szCs w:val="2"/>
        </w:rPr>
        <w:br w:type="column"/>
      </w:r>
    </w:p>
    <w:p>
      <w:pPr>
        <w:ind w:firstLine="1156"/>
        <w:spacing w:before="112" w:line="191" w:lineRule="auto"/>
        <w:rPr>
          <w:rFonts w:ascii="Microsoft YaHei" w:hAnsi="Microsoft YaHei" w:eastAsia="Microsoft YaHei" w:cs="Microsoft YaHei"/>
          <w:sz w:val="15"/>
          <w:szCs w:val="15"/>
        </w:rPr>
      </w:pPr>
      <w:hyperlink w:history="true" r:id="rId4">
        <w:r>
          <w:rPr>
            <w:rFonts w:ascii="Microsoft YaHei" w:hAnsi="Microsoft YaHei" w:eastAsia="Microsoft YaHei" w:cs="Microsoft YaHei"/>
            <w:sz w:val="15"/>
            <w:szCs w:val="15"/>
            <w:color w:val="63839E"/>
          </w:rPr>
          <w:t>返回主站</w:t>
        </w:r>
      </w:hyperlink>
    </w:p>
    <w:p>
      <w:pPr>
        <w:sectPr>
          <w:type w:val="continuous"/>
          <w:pgSz w:w="11900" w:h="16839"/>
          <w:pgMar w:top="0" w:right="0" w:bottom="0" w:left="0" w:header="0" w:footer="0" w:gutter="0"/>
          <w:cols w:equalWidth="0" w:num="5">
            <w:col w:w="3128" w:space="100"/>
            <w:col w:w="2440" w:space="100"/>
            <w:col w:w="1753" w:space="75"/>
            <w:col w:w="1672" w:space="100"/>
            <w:col w:w="2533" w:space="0"/>
          </w:cols>
        </w:sectPr>
        <w:rPr/>
      </w:pPr>
    </w:p>
    <w:p>
      <w:pPr>
        <w:spacing w:line="312" w:lineRule="auto"/>
        <w:rPr>
          <w:rFonts w:ascii="SimSun"/>
          <w:sz w:val="21"/>
        </w:rPr>
      </w:pPr>
      <w:r/>
    </w:p>
    <w:p>
      <w:pPr>
        <w:ind w:firstLine="857"/>
        <w:spacing w:before="64" w:line="191"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333333"/>
          <w:spacing w:val="-9"/>
        </w:rPr>
        <w:t>当前位置：</w:t>
      </w:r>
      <w:r>
        <w:rPr>
          <w:rFonts w:ascii="Microsoft YaHei" w:hAnsi="Microsoft YaHei" w:eastAsia="Microsoft YaHei" w:cs="Microsoft YaHei"/>
          <w:sz w:val="15"/>
          <w:szCs w:val="15"/>
          <w:color w:val="333333"/>
          <w:spacing w:val="9"/>
        </w:rPr>
        <w:t>  </w:t>
      </w:r>
      <w:hyperlink w:history="true" r:id="rId5">
        <w:r>
          <w:rPr>
            <w:rFonts w:ascii="Microsoft YaHei" w:hAnsi="Microsoft YaHei" w:eastAsia="Microsoft YaHei" w:cs="Microsoft YaHei"/>
            <w:sz w:val="15"/>
            <w:szCs w:val="15"/>
            <w:color w:val="333333"/>
            <w:spacing w:val="-9"/>
          </w:rPr>
          <w:t>首页</w:t>
        </w:r>
      </w:hyperlink>
      <w:r>
        <w:rPr>
          <w:rFonts w:ascii="Microsoft YaHei" w:hAnsi="Microsoft YaHei" w:eastAsia="Microsoft YaHei" w:cs="Microsoft YaHei"/>
          <w:sz w:val="15"/>
          <w:szCs w:val="15"/>
          <w:color w:val="333333"/>
          <w:spacing w:val="-9"/>
        </w:rPr>
        <w:t>&gt;</w:t>
      </w:r>
      <w:hyperlink w:history="true" r:id="rId6">
        <w:r>
          <w:rPr>
            <w:rFonts w:ascii="Microsoft YaHei" w:hAnsi="Microsoft YaHei" w:eastAsia="Microsoft YaHei" w:cs="Microsoft YaHei"/>
            <w:sz w:val="15"/>
            <w:szCs w:val="15"/>
            <w:color w:val="333333"/>
            <w:spacing w:val="-9"/>
          </w:rPr>
          <w:t>政策解读</w:t>
        </w:r>
      </w:hyperlink>
    </w:p>
    <w:p>
      <w:pPr>
        <w:spacing w:line="351" w:lineRule="auto"/>
        <w:rPr>
          <w:rFonts w:ascii="SimSun"/>
          <w:sz w:val="21"/>
        </w:rPr>
      </w:pPr>
      <w:r/>
    </w:p>
    <w:p>
      <w:pPr>
        <w:ind w:firstLine="4336"/>
        <w:spacing w:before="112" w:line="180" w:lineRule="auto"/>
        <w:rPr>
          <w:rFonts w:ascii="Microsoft YaHei" w:hAnsi="Microsoft YaHei" w:eastAsia="Microsoft YaHei" w:cs="Microsoft YaHei"/>
          <w:sz w:val="26"/>
          <w:szCs w:val="26"/>
        </w:rPr>
      </w:pPr>
      <w:r>
        <w:rPr>
          <w:rFonts w:ascii="Microsoft YaHei" w:hAnsi="Microsoft YaHei" w:eastAsia="Microsoft YaHei" w:cs="Microsoft YaHei"/>
          <w:sz w:val="26"/>
          <w:szCs w:val="26"/>
          <w:b/>
          <w:bCs/>
          <w:color w:val="333333"/>
          <w:spacing w:val="-3"/>
        </w:rPr>
        <w:t>推动改革创新</w:t>
      </w:r>
      <w:r>
        <w:rPr>
          <w:rFonts w:ascii="Microsoft YaHei" w:hAnsi="Microsoft YaHei" w:eastAsia="Microsoft YaHei" w:cs="Microsoft YaHei"/>
          <w:sz w:val="26"/>
          <w:szCs w:val="26"/>
          <w:color w:val="333333"/>
          <w:spacing w:val="14"/>
        </w:rPr>
        <w:t> </w:t>
      </w:r>
      <w:r>
        <w:rPr>
          <w:rFonts w:ascii="Microsoft YaHei" w:hAnsi="Microsoft YaHei" w:eastAsia="Microsoft YaHei" w:cs="Microsoft YaHei"/>
          <w:sz w:val="26"/>
          <w:szCs w:val="26"/>
          <w:b/>
          <w:bCs/>
          <w:color w:val="333333"/>
          <w:spacing w:val="-3"/>
        </w:rPr>
        <w:t>提高服务效能</w:t>
      </w:r>
    </w:p>
    <w:p>
      <w:pPr>
        <w:ind w:firstLine="3345"/>
        <w:spacing w:before="149" w:line="559" w:lineRule="exact"/>
        <w:rPr>
          <w:rFonts w:ascii="Microsoft YaHei" w:hAnsi="Microsoft YaHei" w:eastAsia="Microsoft YaHei" w:cs="Microsoft YaHei"/>
          <w:sz w:val="26"/>
          <w:szCs w:val="26"/>
        </w:rPr>
      </w:pPr>
      <w:r>
        <w:rPr>
          <w:rFonts w:ascii="Microsoft YaHei" w:hAnsi="Microsoft YaHei" w:eastAsia="Microsoft YaHei" w:cs="Microsoft YaHei"/>
          <w:sz w:val="26"/>
          <w:szCs w:val="26"/>
          <w:b/>
          <w:bCs/>
          <w:color w:val="333333"/>
          <w:spacing w:val="-2"/>
          <w:position w:val="21"/>
        </w:rPr>
        <w:t>实现企业会计准则体系建设与实施高质量发展</w:t>
      </w:r>
    </w:p>
    <w:p>
      <w:pPr>
        <w:ind w:firstLine="3708"/>
        <w:spacing w:line="204" w:lineRule="auto"/>
        <w:rPr>
          <w:rFonts w:ascii="Microsoft YaHei" w:hAnsi="Microsoft YaHei" w:eastAsia="Microsoft YaHei" w:cs="Microsoft YaHei"/>
          <w:sz w:val="17"/>
          <w:szCs w:val="17"/>
        </w:rPr>
      </w:pPr>
      <w:r>
        <w:rPr>
          <w:rFonts w:ascii="Microsoft YaHei" w:hAnsi="Microsoft YaHei" w:eastAsia="Microsoft YaHei" w:cs="Microsoft YaHei"/>
          <w:sz w:val="17"/>
          <w:szCs w:val="17"/>
          <w:b/>
          <w:bCs/>
          <w:color w:val="333333"/>
          <w:spacing w:val="2"/>
        </w:rPr>
        <w:t>——《会计改革与发展“十四五”规划纲要》系列解读之三</w:t>
      </w:r>
    </w:p>
    <w:p>
      <w:pPr>
        <w:ind w:firstLine="8276"/>
        <w:spacing w:before="299" w:line="187" w:lineRule="auto"/>
        <w:rPr>
          <w:rFonts w:ascii="SimSun" w:hAnsi="SimSun" w:eastAsia="SimSun" w:cs="SimSun"/>
          <w:sz w:val="17"/>
          <w:szCs w:val="17"/>
        </w:rPr>
      </w:pPr>
      <w:r>
        <w:rPr>
          <w:rFonts w:ascii="SimSun" w:hAnsi="SimSun" w:eastAsia="SimSun" w:cs="SimSun"/>
          <w:sz w:val="17"/>
          <w:szCs w:val="17"/>
          <w:color w:val="333333"/>
        </w:rPr>
        <w:t>2021年12月31日</w:t>
      </w:r>
      <w:r>
        <w:rPr>
          <w:rFonts w:ascii="SimSun" w:hAnsi="SimSun" w:eastAsia="SimSun" w:cs="SimSun"/>
          <w:sz w:val="17"/>
          <w:szCs w:val="17"/>
          <w:color w:val="333333"/>
          <w:spacing w:val="7"/>
        </w:rPr>
        <w:t>   </w:t>
      </w:r>
      <w:r>
        <w:rPr>
          <w:rFonts w:ascii="SimSun" w:hAnsi="SimSun" w:eastAsia="SimSun" w:cs="SimSun"/>
          <w:sz w:val="17"/>
          <w:szCs w:val="17"/>
          <w:color w:val="333333"/>
        </w:rPr>
        <w:t>来源：会计司</w:t>
      </w:r>
    </w:p>
    <w:p>
      <w:pPr>
        <w:ind w:left="1044" w:right="1048" w:firstLine="431"/>
        <w:spacing w:before="237" w:line="327" w:lineRule="auto"/>
        <w:rPr>
          <w:rFonts w:ascii="SimSun" w:hAnsi="SimSun" w:eastAsia="SimSun" w:cs="SimSun"/>
          <w:sz w:val="17"/>
          <w:szCs w:val="17"/>
        </w:rPr>
      </w:pPr>
      <w:r>
        <w:rPr>
          <w:rFonts w:ascii="SimSun" w:hAnsi="SimSun" w:eastAsia="SimSun" w:cs="SimSun"/>
          <w:sz w:val="17"/>
          <w:szCs w:val="17"/>
          <w:color w:val="333333"/>
          <w:spacing w:val="2"/>
        </w:rPr>
        <w:t>经济越发展，会计越重要。企业会计准则是企业开展会计活动、生成会计信息的基本依据，是国际国内资本市场通用的商业</w:t>
      </w:r>
      <w:r>
        <w:rPr>
          <w:rFonts w:ascii="SimSun" w:hAnsi="SimSun" w:eastAsia="SimSun" w:cs="SimSun"/>
          <w:sz w:val="17"/>
          <w:szCs w:val="17"/>
          <w:color w:val="333333"/>
        </w:rPr>
        <w:t>  </w:t>
      </w:r>
      <w:r>
        <w:rPr>
          <w:rFonts w:ascii="SimSun" w:hAnsi="SimSun" w:eastAsia="SimSun" w:cs="SimSun"/>
          <w:sz w:val="17"/>
          <w:szCs w:val="17"/>
          <w:color w:val="333333"/>
          <w:spacing w:val="2"/>
        </w:rPr>
        <w:t>规则和技术语言，更是国家统一的会计制度的重要组成部分。企业会计准则体系的建设与实施关系企业经营活动成果的准确计量与</w:t>
      </w:r>
      <w:r>
        <w:rPr>
          <w:rFonts w:ascii="SimSun" w:hAnsi="SimSun" w:eastAsia="SimSun" w:cs="SimSun"/>
          <w:sz w:val="17"/>
          <w:szCs w:val="17"/>
          <w:color w:val="333333"/>
          <w:spacing w:val="1"/>
        </w:rPr>
        <w:t> </w:t>
      </w:r>
      <w:r>
        <w:rPr>
          <w:rFonts w:ascii="SimSun" w:hAnsi="SimSun" w:eastAsia="SimSun" w:cs="SimSun"/>
          <w:sz w:val="17"/>
          <w:szCs w:val="17"/>
          <w:color w:val="333333"/>
          <w:spacing w:val="2"/>
        </w:rPr>
        <w:t>真实反映，直接影响企业生成和提供的会计信息质量，对于完善市场经济运行机制、引导社会资源合理配置、保护投资者和社会公</w:t>
      </w:r>
      <w:r>
        <w:rPr>
          <w:rFonts w:ascii="SimSun" w:hAnsi="SimSun" w:eastAsia="SimSun" w:cs="SimSun"/>
          <w:sz w:val="17"/>
          <w:szCs w:val="17"/>
          <w:color w:val="333333"/>
          <w:spacing w:val="1"/>
        </w:rPr>
        <w:t> </w:t>
      </w:r>
      <w:r>
        <w:rPr>
          <w:rFonts w:ascii="SimSun" w:hAnsi="SimSun" w:eastAsia="SimSun" w:cs="SimSun"/>
          <w:sz w:val="17"/>
          <w:szCs w:val="17"/>
          <w:color w:val="333333"/>
          <w:spacing w:val="-1"/>
        </w:rPr>
        <w:t>众利益具有重要而深远的影响。</w:t>
      </w:r>
    </w:p>
    <w:p>
      <w:pPr>
        <w:ind w:left="1044" w:right="1016" w:firstLine="344"/>
        <w:spacing w:before="109" w:line="327" w:lineRule="auto"/>
        <w:rPr>
          <w:rFonts w:ascii="SimSun" w:hAnsi="SimSun" w:eastAsia="SimSun" w:cs="SimSun"/>
          <w:sz w:val="17"/>
          <w:szCs w:val="17"/>
        </w:rPr>
      </w:pPr>
      <w:r>
        <w:rPr>
          <w:rFonts w:ascii="SimSun" w:hAnsi="SimSun" w:eastAsia="SimSun" w:cs="SimSun"/>
          <w:sz w:val="17"/>
          <w:szCs w:val="17"/>
          <w:color w:val="333333"/>
          <w:spacing w:val="2"/>
        </w:rPr>
        <w:t>会计作为宏观经济管理和市场资源配置的基础性工作，在当前我国经济深入融合全球经济以及我国经济高质量发展的进程中，</w:t>
      </w:r>
      <w:r>
        <w:rPr>
          <w:rFonts w:ascii="SimSun" w:hAnsi="SimSun" w:eastAsia="SimSun" w:cs="SimSun"/>
          <w:sz w:val="17"/>
          <w:szCs w:val="17"/>
          <w:color w:val="333333"/>
          <w:spacing w:val="33"/>
          <w:w w:val="101"/>
        </w:rPr>
        <w:t> </w:t>
      </w:r>
      <w:r>
        <w:rPr>
          <w:rFonts w:ascii="SimSun" w:hAnsi="SimSun" w:eastAsia="SimSun" w:cs="SimSun"/>
          <w:sz w:val="17"/>
          <w:szCs w:val="17"/>
          <w:color w:val="333333"/>
          <w:spacing w:val="2"/>
        </w:rPr>
        <w:t>面临难得的发展机遇，同时也面临着诸多挑战。</w:t>
      </w:r>
      <w:r>
        <w:rPr>
          <w:rFonts w:ascii="SimSun" w:hAnsi="SimSun" w:eastAsia="SimSun" w:cs="SimSun"/>
          <w:sz w:val="17"/>
          <w:szCs w:val="17"/>
          <w:color w:val="333333"/>
          <w:spacing w:val="-51"/>
        </w:rPr>
        <w:t> </w:t>
      </w:r>
      <w:r>
        <w:rPr>
          <w:rFonts w:ascii="SimSun" w:hAnsi="SimSun" w:eastAsia="SimSun" w:cs="SimSun"/>
          <w:sz w:val="17"/>
          <w:szCs w:val="17"/>
          <w:color w:val="333333"/>
          <w:spacing w:val="2"/>
        </w:rPr>
        <w:t>“十四五”时期，要紧紧围绕服务经济社会发展大局和财政管理工作全局，统筹国</w:t>
      </w:r>
      <w:r>
        <w:rPr>
          <w:rFonts w:ascii="SimSun" w:hAnsi="SimSun" w:eastAsia="SimSun" w:cs="SimSun"/>
          <w:sz w:val="17"/>
          <w:szCs w:val="17"/>
          <w:color w:val="333333"/>
        </w:rPr>
        <w:t> </w:t>
      </w:r>
      <w:r>
        <w:rPr>
          <w:rFonts w:ascii="SimSun" w:hAnsi="SimSun" w:eastAsia="SimSun" w:cs="SimSun"/>
          <w:sz w:val="17"/>
          <w:szCs w:val="17"/>
          <w:color w:val="333333"/>
          <w:spacing w:val="2"/>
        </w:rPr>
        <w:t>内和国际两个大局，立足新发展阶段、坚持新发展理念、服务新发展格局，将企业会计准则体系建设与实施两个重点往纵深推进，</w:t>
      </w:r>
      <w:r>
        <w:rPr>
          <w:rFonts w:ascii="SimSun" w:hAnsi="SimSun" w:eastAsia="SimSun" w:cs="SimSun"/>
          <w:sz w:val="17"/>
          <w:szCs w:val="17"/>
          <w:color w:val="333333"/>
          <w:spacing w:val="34"/>
        </w:rPr>
        <w:t> </w:t>
      </w:r>
      <w:r>
        <w:rPr>
          <w:rFonts w:ascii="SimSun" w:hAnsi="SimSun" w:eastAsia="SimSun" w:cs="SimSun"/>
          <w:sz w:val="17"/>
          <w:szCs w:val="17"/>
          <w:color w:val="333333"/>
        </w:rPr>
        <w:t>融入新时代、实现新突破，向更高水平迈进。</w:t>
      </w:r>
    </w:p>
    <w:p>
      <w:pPr>
        <w:ind w:firstLine="1391"/>
        <w:spacing w:before="107" w:line="187" w:lineRule="auto"/>
        <w:rPr>
          <w:rFonts w:ascii="SimSun" w:hAnsi="SimSun" w:eastAsia="SimSun" w:cs="SimSun"/>
          <w:sz w:val="17"/>
          <w:szCs w:val="17"/>
        </w:rPr>
      </w:pPr>
      <w:r>
        <w:rPr>
          <w:rFonts w:ascii="SimSun" w:hAnsi="SimSun" w:eastAsia="SimSun" w:cs="SimSun"/>
          <w:sz w:val="17"/>
          <w:szCs w:val="17"/>
          <w:color w:val="333333"/>
          <w:spacing w:val="11"/>
        </w:rPr>
        <w:t>一、</w:t>
      </w:r>
      <w:r>
        <w:rPr>
          <w:rFonts w:ascii="SimSun" w:hAnsi="SimSun" w:eastAsia="SimSun" w:cs="SimSun"/>
          <w:sz w:val="17"/>
          <w:szCs w:val="17"/>
          <w:color w:val="333333"/>
          <w:spacing w:val="-56"/>
        </w:rPr>
        <w:t> </w:t>
      </w:r>
      <w:r>
        <w:rPr>
          <w:rFonts w:ascii="SimSun" w:hAnsi="SimSun" w:eastAsia="SimSun" w:cs="SimSun"/>
          <w:sz w:val="17"/>
          <w:szCs w:val="17"/>
          <w:color w:val="333333"/>
          <w:spacing w:val="11"/>
        </w:rPr>
        <w:t>“十三五”时期企业会计准则体系建设与实施稳步推进</w:t>
      </w:r>
    </w:p>
    <w:p>
      <w:pPr>
        <w:ind w:left="1042" w:right="1016" w:firstLine="335"/>
        <w:spacing w:before="237" w:line="327" w:lineRule="auto"/>
        <w:rPr>
          <w:rFonts w:ascii="SimSun" w:hAnsi="SimSun" w:eastAsia="SimSun" w:cs="SimSun"/>
          <w:sz w:val="17"/>
          <w:szCs w:val="17"/>
        </w:rPr>
      </w:pPr>
      <w:r>
        <w:rPr>
          <w:rFonts w:ascii="SimSun" w:hAnsi="SimSun" w:eastAsia="SimSun" w:cs="SimSun"/>
          <w:sz w:val="17"/>
          <w:szCs w:val="17"/>
          <w:color w:val="333333"/>
          <w:spacing w:val="2"/>
        </w:rPr>
        <w:t>“十三五”时期，企业会计准则体系持续完善，保持与国际财务报告准则持续趋同的总基调，收入、金融工具等11项具体准则</w:t>
      </w:r>
      <w:r>
        <w:rPr>
          <w:rFonts w:ascii="SimSun" w:hAnsi="SimSun" w:eastAsia="SimSun" w:cs="SimSun"/>
          <w:sz w:val="17"/>
          <w:szCs w:val="17"/>
          <w:color w:val="333333"/>
          <w:spacing w:val="42"/>
        </w:rPr>
        <w:t> </w:t>
      </w:r>
      <w:r>
        <w:rPr>
          <w:rFonts w:ascii="SimSun" w:hAnsi="SimSun" w:eastAsia="SimSun" w:cs="SimSun"/>
          <w:sz w:val="17"/>
          <w:szCs w:val="17"/>
          <w:color w:val="333333"/>
          <w:spacing w:val="4"/>
        </w:rPr>
        <w:t>及5项准则解释修订印发并得到有效实施，建立企业会计准则实施机制以积极回应并解决会计准则实施中的技术问题，为助力供给</w:t>
      </w:r>
      <w:r>
        <w:rPr>
          <w:rFonts w:ascii="SimSun" w:hAnsi="SimSun" w:eastAsia="SimSun" w:cs="SimSun"/>
          <w:sz w:val="17"/>
          <w:szCs w:val="17"/>
          <w:color w:val="333333"/>
          <w:spacing w:val="7"/>
        </w:rPr>
        <w:t> </w:t>
      </w:r>
      <w:r>
        <w:rPr>
          <w:rFonts w:ascii="SimSun" w:hAnsi="SimSun" w:eastAsia="SimSun" w:cs="SimSun"/>
          <w:sz w:val="17"/>
          <w:szCs w:val="17"/>
          <w:color w:val="333333"/>
          <w:spacing w:val="1"/>
        </w:rPr>
        <w:t>侧结构性改革、服务经济社会和资本市场健康发展提供高质量会计信息支持。</w:t>
      </w:r>
    </w:p>
    <w:p>
      <w:pPr>
        <w:ind w:firstLine="1394"/>
        <w:spacing w:before="108" w:line="187" w:lineRule="auto"/>
        <w:rPr>
          <w:rFonts w:ascii="SimSun" w:hAnsi="SimSun" w:eastAsia="SimSun" w:cs="SimSun"/>
          <w:sz w:val="17"/>
          <w:szCs w:val="17"/>
        </w:rPr>
      </w:pPr>
      <w:r>
        <w:rPr>
          <w:rFonts w:ascii="SimSun" w:hAnsi="SimSun" w:eastAsia="SimSun" w:cs="SimSun"/>
          <w:sz w:val="17"/>
          <w:szCs w:val="17"/>
          <w:color w:val="333333"/>
          <w:spacing w:val="-1"/>
        </w:rPr>
        <w:t>（一）企业会计准则体系持续完善。</w:t>
      </w:r>
    </w:p>
    <w:p>
      <w:pPr>
        <w:ind w:left="1045" w:right="1016" w:firstLine="333"/>
        <w:spacing w:before="237" w:line="327" w:lineRule="auto"/>
        <w:rPr>
          <w:rFonts w:ascii="SimSun" w:hAnsi="SimSun" w:eastAsia="SimSun" w:cs="SimSun"/>
          <w:sz w:val="17"/>
          <w:szCs w:val="17"/>
        </w:rPr>
      </w:pPr>
      <w:r>
        <w:rPr>
          <w:rFonts w:ascii="SimSun" w:hAnsi="SimSun" w:eastAsia="SimSun" w:cs="SimSun"/>
          <w:sz w:val="17"/>
          <w:szCs w:val="17"/>
          <w:color w:val="333333"/>
          <w:spacing w:val="2"/>
        </w:rPr>
        <w:t>“十三五”期间，财政部始终在坚持国际趋同和服务国内实践的基础上，持续做好企业会计准则体系的建设完善工作，不断完</w:t>
      </w:r>
      <w:r>
        <w:rPr>
          <w:rFonts w:ascii="SimSun" w:hAnsi="SimSun" w:eastAsia="SimSun" w:cs="SimSun"/>
          <w:sz w:val="17"/>
          <w:szCs w:val="17"/>
          <w:color w:val="333333"/>
          <w:spacing w:val="44"/>
        </w:rPr>
        <w:t> </w:t>
      </w:r>
      <w:r>
        <w:rPr>
          <w:rFonts w:ascii="SimSun" w:hAnsi="SimSun" w:eastAsia="SimSun" w:cs="SimSun"/>
          <w:sz w:val="17"/>
          <w:szCs w:val="17"/>
          <w:color w:val="333333"/>
          <w:spacing w:val="-2"/>
        </w:rPr>
        <w:t>善企业会计准则体系。</w:t>
      </w:r>
    </w:p>
    <w:p>
      <w:pPr>
        <w:ind w:left="1044" w:right="1016" w:firstLine="358"/>
        <w:spacing w:before="108" w:line="327" w:lineRule="auto"/>
        <w:rPr>
          <w:rFonts w:ascii="SimSun" w:hAnsi="SimSun" w:eastAsia="SimSun" w:cs="SimSun"/>
          <w:sz w:val="17"/>
          <w:szCs w:val="17"/>
        </w:rPr>
      </w:pPr>
      <w:r>
        <w:rPr>
          <w:rFonts w:ascii="SimSun" w:hAnsi="SimSun" w:eastAsia="SimSun" w:cs="SimSun"/>
          <w:sz w:val="17"/>
          <w:szCs w:val="17"/>
          <w:color w:val="333333"/>
          <w:spacing w:val="2"/>
        </w:rPr>
        <w:t>1.坚持高质量建设，牢牢把握会计准则国际趋同和适应我国国情的需要，制定或修订企业会计准则、解释及应用指南。一是先</w:t>
      </w:r>
      <w:r>
        <w:rPr>
          <w:rFonts w:ascii="SimSun" w:hAnsi="SimSun" w:eastAsia="SimSun" w:cs="SimSun"/>
          <w:sz w:val="17"/>
          <w:szCs w:val="17"/>
          <w:color w:val="333333"/>
          <w:spacing w:val="18"/>
        </w:rPr>
        <w:t> </w:t>
      </w:r>
      <w:r>
        <w:rPr>
          <w:rFonts w:ascii="SimSun" w:hAnsi="SimSun" w:eastAsia="SimSun" w:cs="SimSun"/>
          <w:sz w:val="17"/>
          <w:szCs w:val="17"/>
          <w:color w:val="333333"/>
          <w:spacing w:val="2"/>
        </w:rPr>
        <w:t>后修订印发了收入、金融工具系列、保险合同、租赁、政府补助、非货币性资产交换、债务重组、持有待售等11项具体准则，并编</w:t>
      </w:r>
      <w:r>
        <w:rPr>
          <w:rFonts w:ascii="SimSun" w:hAnsi="SimSun" w:eastAsia="SimSun" w:cs="SimSun"/>
          <w:sz w:val="17"/>
          <w:szCs w:val="17"/>
          <w:color w:val="333333"/>
          <w:spacing w:val="32"/>
        </w:rPr>
        <w:t> </w:t>
      </w:r>
      <w:r>
        <w:rPr>
          <w:rFonts w:ascii="SimSun" w:hAnsi="SimSun" w:eastAsia="SimSun" w:cs="SimSun"/>
          <w:sz w:val="17"/>
          <w:szCs w:val="17"/>
          <w:color w:val="333333"/>
          <w:spacing w:val="2"/>
        </w:rPr>
        <w:t>写了相关准则应用指南，切实解决我国企业相关会计实务问题，并实现我国企业会计准则与国际财务报告准则的持续全面趋同。二</w:t>
      </w:r>
      <w:r>
        <w:rPr>
          <w:rFonts w:ascii="SimSun" w:hAnsi="SimSun" w:eastAsia="SimSun" w:cs="SimSun"/>
          <w:sz w:val="17"/>
          <w:szCs w:val="17"/>
          <w:color w:val="333333"/>
          <w:spacing w:val="34"/>
        </w:rPr>
        <w:t> </w:t>
      </w:r>
      <w:r>
        <w:rPr>
          <w:rFonts w:ascii="SimSun" w:hAnsi="SimSun" w:eastAsia="SimSun" w:cs="SimSun"/>
          <w:sz w:val="17"/>
          <w:szCs w:val="17"/>
          <w:color w:val="333333"/>
          <w:spacing w:val="2"/>
        </w:rPr>
        <w:t>是先后制定印发了企业会计准则解释第9号至13号共5项准则解释，内容涉及权益法下投资净损失、固定资产和无形资产产生收入为</w:t>
      </w:r>
      <w:r>
        <w:rPr>
          <w:rFonts w:ascii="SimSun" w:hAnsi="SimSun" w:eastAsia="SimSun" w:cs="SimSun"/>
          <w:sz w:val="17"/>
          <w:szCs w:val="17"/>
          <w:color w:val="333333"/>
          <w:spacing w:val="30"/>
        </w:rPr>
        <w:t> </w:t>
      </w:r>
      <w:r>
        <w:rPr>
          <w:rFonts w:ascii="SimSun" w:hAnsi="SimSun" w:eastAsia="SimSun" w:cs="SimSun"/>
          <w:sz w:val="17"/>
          <w:szCs w:val="17"/>
          <w:color w:val="333333"/>
          <w:spacing w:val="1"/>
        </w:rPr>
        <w:t>基础的折旧和摊销方法、关联方认定、企业合并中业务的判断等方面，及时解决企业会计准则实施中遇到的新情况、新问题。</w:t>
      </w:r>
    </w:p>
    <w:p>
      <w:pPr>
        <w:ind w:left="1042" w:right="1016" w:firstLine="348"/>
        <w:spacing w:before="109" w:line="327" w:lineRule="auto"/>
        <w:rPr>
          <w:rFonts w:ascii="SimSun" w:hAnsi="SimSun" w:eastAsia="SimSun" w:cs="SimSun"/>
          <w:sz w:val="17"/>
          <w:szCs w:val="17"/>
        </w:rPr>
      </w:pPr>
      <w:r>
        <w:rPr>
          <w:rFonts w:ascii="SimSun" w:hAnsi="SimSun" w:eastAsia="SimSun" w:cs="SimSun"/>
          <w:sz w:val="17"/>
          <w:szCs w:val="17"/>
          <w:color w:val="333333"/>
          <w:spacing w:val="2"/>
        </w:rPr>
        <w:t>2.积极主动作为，服务国家改革战略和服务财政工作大局，出台配套会计制度。一是为贯彻落实国家化解过剩产能、</w:t>
      </w:r>
      <w:r>
        <w:rPr>
          <w:rFonts w:ascii="SimSun" w:hAnsi="SimSun" w:eastAsia="SimSun" w:cs="SimSun"/>
          <w:sz w:val="17"/>
          <w:szCs w:val="17"/>
          <w:color w:val="333333"/>
          <w:spacing w:val="-56"/>
        </w:rPr>
        <w:t> </w:t>
      </w:r>
      <w:r>
        <w:rPr>
          <w:rFonts w:ascii="SimSun" w:hAnsi="SimSun" w:eastAsia="SimSun" w:cs="SimSun"/>
          <w:sz w:val="17"/>
          <w:szCs w:val="17"/>
          <w:color w:val="333333"/>
          <w:spacing w:val="2"/>
        </w:rPr>
        <w:t>“三去一</w:t>
      </w:r>
      <w:r>
        <w:rPr>
          <w:rFonts w:ascii="SimSun" w:hAnsi="SimSun" w:eastAsia="SimSun" w:cs="SimSun"/>
          <w:sz w:val="17"/>
          <w:szCs w:val="17"/>
          <w:color w:val="333333"/>
        </w:rPr>
        <w:t> </w:t>
      </w:r>
      <w:r>
        <w:rPr>
          <w:rFonts w:ascii="SimSun" w:hAnsi="SimSun" w:eastAsia="SimSun" w:cs="SimSun"/>
          <w:sz w:val="17"/>
          <w:szCs w:val="17"/>
          <w:color w:val="333333"/>
          <w:spacing w:val="2"/>
        </w:rPr>
        <w:t>降一补”五大任务精神，制定规范“三去一降一补”业务会计处理规定。二是为贯彻落实国家加快处置“僵尸企业”</w:t>
      </w:r>
      <w:r>
        <w:rPr>
          <w:rFonts w:ascii="SimSun" w:hAnsi="SimSun" w:eastAsia="SimSun" w:cs="SimSun"/>
          <w:sz w:val="17"/>
          <w:szCs w:val="17"/>
          <w:color w:val="333333"/>
          <w:spacing w:val="-49"/>
        </w:rPr>
        <w:t> </w:t>
      </w:r>
      <w:r>
        <w:rPr>
          <w:rFonts w:ascii="SimSun" w:hAnsi="SimSun" w:eastAsia="SimSun" w:cs="SimSun"/>
          <w:sz w:val="17"/>
          <w:szCs w:val="17"/>
          <w:color w:val="333333"/>
          <w:spacing w:val="2"/>
        </w:rPr>
        <w:t>，实现市场出</w:t>
      </w:r>
      <w:r>
        <w:rPr>
          <w:rFonts w:ascii="SimSun" w:hAnsi="SimSun" w:eastAsia="SimSun" w:cs="SimSun"/>
          <w:sz w:val="17"/>
          <w:szCs w:val="17"/>
          <w:color w:val="333333"/>
        </w:rPr>
        <w:t> </w:t>
      </w:r>
      <w:r>
        <w:rPr>
          <w:rFonts w:ascii="SimSun" w:hAnsi="SimSun" w:eastAsia="SimSun" w:cs="SimSun"/>
          <w:sz w:val="17"/>
          <w:szCs w:val="17"/>
          <w:color w:val="333333"/>
          <w:spacing w:val="2"/>
        </w:rPr>
        <w:t>清精神，制定企业破产清算会计处理规定。三是为服务国家“营改增”重大改革，制定增值税会计处理规定。四是为服务国家加强</w:t>
      </w:r>
      <w:r>
        <w:rPr>
          <w:rFonts w:ascii="SimSun" w:hAnsi="SimSun" w:eastAsia="SimSun" w:cs="SimSun"/>
          <w:sz w:val="17"/>
          <w:szCs w:val="17"/>
          <w:color w:val="333333"/>
          <w:spacing w:val="36"/>
        </w:rPr>
        <w:t> </w:t>
      </w:r>
      <w:r>
        <w:rPr>
          <w:rFonts w:ascii="SimSun" w:hAnsi="SimSun" w:eastAsia="SimSun" w:cs="SimSun"/>
          <w:sz w:val="17"/>
          <w:szCs w:val="17"/>
          <w:color w:val="333333"/>
          <w:spacing w:val="2"/>
        </w:rPr>
        <w:t>知识产权强国建设，会同国家知识产权局制定知识产权相关会计信息披露规定。五是为服务我国碳排放权交易的开展，制定碳排放</w:t>
      </w:r>
      <w:r>
        <w:rPr>
          <w:rFonts w:ascii="SimSun" w:hAnsi="SimSun" w:eastAsia="SimSun" w:cs="SimSun"/>
          <w:sz w:val="17"/>
          <w:szCs w:val="17"/>
          <w:color w:val="333333"/>
          <w:spacing w:val="36"/>
        </w:rPr>
        <w:t> </w:t>
      </w:r>
      <w:r>
        <w:rPr>
          <w:rFonts w:ascii="SimSun" w:hAnsi="SimSun" w:eastAsia="SimSun" w:cs="SimSun"/>
          <w:sz w:val="17"/>
          <w:szCs w:val="17"/>
          <w:color w:val="333333"/>
          <w:spacing w:val="2"/>
        </w:rPr>
        <w:t>权交易有关会计处理暂行规定。六是为规范永续债及其他类似工具的会计分类，制定永续债相关会计处理的规定。七是为简化新冠</w:t>
      </w:r>
      <w:r>
        <w:rPr>
          <w:rFonts w:ascii="SimSun" w:hAnsi="SimSun" w:eastAsia="SimSun" w:cs="SimSun"/>
          <w:sz w:val="17"/>
          <w:szCs w:val="17"/>
          <w:color w:val="333333"/>
          <w:spacing w:val="36"/>
        </w:rPr>
        <w:t> </w:t>
      </w:r>
      <w:r>
        <w:rPr>
          <w:rFonts w:ascii="SimSun" w:hAnsi="SimSun" w:eastAsia="SimSun" w:cs="SimSun"/>
          <w:sz w:val="17"/>
          <w:szCs w:val="17"/>
          <w:color w:val="333333"/>
          <w:spacing w:val="1"/>
        </w:rPr>
        <w:t>肺炎疫情相关租金减让的会计处理、减轻企业负担，制定新冠肺炎疫情相关租金减让会计处理规定。</w:t>
      </w:r>
    </w:p>
    <w:p>
      <w:pPr>
        <w:ind w:left="1047" w:right="1016" w:firstLine="345"/>
        <w:spacing w:before="108" w:line="327" w:lineRule="auto"/>
        <w:rPr>
          <w:rFonts w:ascii="SimSun" w:hAnsi="SimSun" w:eastAsia="SimSun" w:cs="SimSun"/>
          <w:sz w:val="17"/>
          <w:szCs w:val="17"/>
        </w:rPr>
      </w:pPr>
      <w:r>
        <w:rPr>
          <w:rFonts w:ascii="SimSun" w:hAnsi="SimSun" w:eastAsia="SimSun" w:cs="SimSun"/>
          <w:sz w:val="17"/>
          <w:szCs w:val="17"/>
          <w:color w:val="333333"/>
          <w:spacing w:val="2"/>
        </w:rPr>
        <w:t>3.及时反映准则要求，解决企业编制财务报告中的问题，全面规范财务报表列报。财政部先后修订印发了一般企业财务报表格</w:t>
      </w:r>
      <w:r>
        <w:rPr>
          <w:rFonts w:ascii="SimSun" w:hAnsi="SimSun" w:eastAsia="SimSun" w:cs="SimSun"/>
          <w:sz w:val="17"/>
          <w:szCs w:val="17"/>
          <w:color w:val="333333"/>
          <w:spacing w:val="27"/>
        </w:rPr>
        <w:t> </w:t>
      </w:r>
      <w:r>
        <w:rPr>
          <w:rFonts w:ascii="SimSun" w:hAnsi="SimSun" w:eastAsia="SimSun" w:cs="SimSun"/>
          <w:sz w:val="17"/>
          <w:szCs w:val="17"/>
          <w:color w:val="333333"/>
          <w:spacing w:val="1"/>
        </w:rPr>
        <w:t>式、金融企业财务报表格式、合并财务报表格式，统一企业对外提供财务报表的格式和内容标准，提高会计信息质量。</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spacing w:val="-1"/>
        </w:rPr>
        <w:t>（二）企业会计准则体系有效实施。</w:t>
      </w:r>
    </w:p>
    <w:p>
      <w:pPr>
        <w:ind w:left="1044" w:right="1016" w:firstLine="334"/>
        <w:spacing w:before="238" w:line="327" w:lineRule="auto"/>
        <w:rPr>
          <w:rFonts w:ascii="SimSun" w:hAnsi="SimSun" w:eastAsia="SimSun" w:cs="SimSun"/>
          <w:sz w:val="17"/>
          <w:szCs w:val="17"/>
        </w:rPr>
      </w:pPr>
      <w:r>
        <w:rPr>
          <w:rFonts w:ascii="SimSun" w:hAnsi="SimSun" w:eastAsia="SimSun" w:cs="SimSun"/>
          <w:sz w:val="17"/>
          <w:szCs w:val="17"/>
          <w:color w:val="333333"/>
          <w:spacing w:val="2"/>
        </w:rPr>
        <w:t>“十三五”期间，在健全完善我国企业会计准则体系的同时，财政部高度重视准则的贯彻实施工作，持续加强会计实务指导，</w:t>
      </w:r>
      <w:r>
        <w:rPr>
          <w:rFonts w:ascii="SimSun" w:hAnsi="SimSun" w:eastAsia="SimSun" w:cs="SimSun"/>
          <w:sz w:val="17"/>
          <w:szCs w:val="17"/>
          <w:color w:val="333333"/>
          <w:spacing w:val="44"/>
        </w:rPr>
        <w:t> </w:t>
      </w:r>
      <w:r>
        <w:rPr>
          <w:rFonts w:ascii="SimSun" w:hAnsi="SimSun" w:eastAsia="SimSun" w:cs="SimSun"/>
          <w:sz w:val="17"/>
          <w:szCs w:val="17"/>
          <w:color w:val="333333"/>
          <w:spacing w:val="1"/>
        </w:rPr>
        <w:t>推动准则落地见效。</w:t>
      </w:r>
      <w:r>
        <w:rPr>
          <w:rFonts w:ascii="SimSun" w:hAnsi="SimSun" w:eastAsia="SimSun" w:cs="SimSun"/>
          <w:sz w:val="17"/>
          <w:szCs w:val="17"/>
          <w:color w:val="333333"/>
          <w:spacing w:val="6"/>
        </w:rPr>
        <w:t> </w:t>
      </w:r>
      <w:r>
        <w:rPr>
          <w:rFonts w:ascii="SimSun" w:hAnsi="SimSun" w:eastAsia="SimSun" w:cs="SimSun"/>
          <w:sz w:val="17"/>
          <w:szCs w:val="17"/>
          <w:color w:val="333333"/>
          <w:spacing w:val="1"/>
        </w:rPr>
        <w:t>目前，我国企业会计准则体系已在上市公司、金融机构以及大部分大中型国有企业范围内得到较好实施，在提</w:t>
      </w:r>
      <w:r>
        <w:rPr>
          <w:rFonts w:ascii="SimSun" w:hAnsi="SimSun" w:eastAsia="SimSun" w:cs="SimSun"/>
          <w:sz w:val="17"/>
          <w:szCs w:val="17"/>
          <w:color w:val="333333"/>
        </w:rPr>
        <w:t> </w:t>
      </w:r>
      <w:r>
        <w:rPr>
          <w:rFonts w:ascii="SimSun" w:hAnsi="SimSun" w:eastAsia="SimSun" w:cs="SimSun"/>
          <w:sz w:val="17"/>
          <w:szCs w:val="17"/>
          <w:color w:val="333333"/>
          <w:spacing w:val="1"/>
        </w:rPr>
        <w:t>高会计信息质量、提升企业管理水平和服务宏观经济治理等方面，起到了积极作用。</w:t>
      </w:r>
    </w:p>
    <w:p>
      <w:pPr>
        <w:ind w:firstLine="539"/>
        <w:spacing w:before="235" w:line="218" w:lineRule="exact"/>
        <w:rPr>
          <w:rFonts w:ascii="Arial" w:hAnsi="Arial" w:eastAsia="Arial" w:cs="Arial"/>
          <w:sz w:val="16"/>
          <w:szCs w:val="16"/>
        </w:rPr>
      </w:pPr>
      <w:r>
        <w:rPr>
          <w:rFonts w:ascii="Arial" w:hAnsi="Arial" w:eastAsia="Arial" w:cs="Arial"/>
          <w:sz w:val="16"/>
          <w:szCs w:val="16"/>
          <w:spacing w:val="-1"/>
        </w:rPr>
        <w:t>kjs.mof.gov.cn/zhengcejiedu/202201/t20220117_3782893.htm</w:t>
      </w:r>
      <w:r>
        <w:rPr>
          <w:rFonts w:ascii="Arial" w:hAnsi="Arial" w:eastAsia="Arial" w:cs="Arial"/>
          <w:sz w:val="16"/>
          <w:szCs w:val="16"/>
        </w:rPr>
        <w:t>                                                                                                                                            </w:t>
      </w:r>
      <w:r>
        <w:rPr>
          <w:rFonts w:ascii="Arial" w:hAnsi="Arial" w:eastAsia="Arial" w:cs="Arial"/>
          <w:sz w:val="16"/>
          <w:szCs w:val="16"/>
          <w:spacing w:val="-1"/>
        </w:rPr>
        <w:t>1/5</w:t>
      </w:r>
    </w:p>
    <w:p>
      <w:pPr>
        <w:sectPr>
          <w:type w:val="continuous"/>
          <w:pgSz w:w="11900" w:h="16839"/>
          <w:pgMar w:top="0" w:right="0" w:bottom="0" w:left="0" w:header="0" w:footer="0" w:gutter="0"/>
          <w:cols w:equalWidth="0" w:num="1">
            <w:col w:w="11900" w:space="0"/>
          </w:cols>
        </w:sectPr>
        <w:rPr/>
      </w:pPr>
    </w:p>
    <w:p>
      <w:pPr>
        <w:ind w:firstLine="533"/>
        <w:spacing w:before="293" w:line="191" w:lineRule="auto"/>
        <w:rPr>
          <w:rFonts w:ascii="Microsoft YaHei" w:hAnsi="Microsoft YaHei" w:eastAsia="Microsoft YaHei" w:cs="Microsoft YaHei"/>
          <w:sz w:val="16"/>
          <w:szCs w:val="16"/>
        </w:rPr>
      </w:pPr>
      <w:r>
        <w:rPr>
          <w:rFonts w:ascii="Arial" w:hAnsi="Arial" w:eastAsia="Arial" w:cs="Arial"/>
          <w:sz w:val="16"/>
          <w:szCs w:val="16"/>
          <w:spacing w:val="-1"/>
          <w:position w:val="1"/>
        </w:rPr>
        <w:t>2022/4/27</w:t>
      </w:r>
      <w:r>
        <w:rPr>
          <w:rFonts w:ascii="Arial" w:hAnsi="Arial" w:eastAsia="Arial" w:cs="Arial"/>
          <w:sz w:val="16"/>
          <w:szCs w:val="16"/>
          <w:spacing w:val="2"/>
          <w:position w:val="1"/>
        </w:rPr>
        <w:t>                 </w:t>
      </w:r>
      <w:r>
        <w:rPr>
          <w:rFonts w:ascii="Microsoft YaHei" w:hAnsi="Microsoft YaHei" w:eastAsia="Microsoft YaHei" w:cs="Microsoft YaHei"/>
          <w:sz w:val="16"/>
          <w:szCs w:val="16"/>
          <w:spacing w:val="-1"/>
        </w:rPr>
        <w:t>推动改革创新</w:t>
      </w:r>
      <w:r>
        <w:rPr>
          <w:rFonts w:ascii="Microsoft YaHei" w:hAnsi="Microsoft YaHei" w:eastAsia="Microsoft YaHei" w:cs="Microsoft YaHei"/>
          <w:sz w:val="16"/>
          <w:szCs w:val="16"/>
        </w:rPr>
        <w:t> </w:t>
      </w:r>
      <w:r>
        <w:rPr>
          <w:rFonts w:ascii="Microsoft YaHei" w:hAnsi="Microsoft YaHei" w:eastAsia="Microsoft YaHei" w:cs="Microsoft YaHei"/>
          <w:sz w:val="16"/>
          <w:szCs w:val="16"/>
          <w:spacing w:val="-1"/>
        </w:rPr>
        <w:t>提高服务效能</w:t>
      </w:r>
      <w:r>
        <w:rPr>
          <w:rFonts w:ascii="Microsoft YaHei" w:hAnsi="Microsoft YaHei" w:eastAsia="Microsoft YaHei" w:cs="Microsoft YaHei"/>
          <w:sz w:val="16"/>
          <w:szCs w:val="16"/>
        </w:rPr>
        <w:t> </w:t>
      </w:r>
      <w:r>
        <w:rPr>
          <w:rFonts w:ascii="Microsoft YaHei" w:hAnsi="Microsoft YaHei" w:eastAsia="Microsoft YaHei" w:cs="Microsoft YaHei"/>
          <w:sz w:val="16"/>
          <w:szCs w:val="16"/>
          <w:spacing w:val="-1"/>
        </w:rPr>
        <w:t>实现企业会计准则体系建设与实施高质量发展</w:t>
      </w:r>
      <w:r>
        <w:rPr>
          <w:rFonts w:ascii="Arial" w:hAnsi="Arial" w:eastAsia="Arial" w:cs="Arial"/>
          <w:sz w:val="16"/>
          <w:szCs w:val="16"/>
          <w:spacing w:val="-1"/>
        </w:rPr>
        <w:t>——</w:t>
      </w:r>
      <w:r>
        <w:rPr>
          <w:rFonts w:ascii="Arial" w:hAnsi="Arial" w:eastAsia="Arial" w:cs="Arial"/>
          <w:sz w:val="16"/>
          <w:szCs w:val="16"/>
          <w:spacing w:val="34"/>
        </w:rPr>
        <w:t> </w:t>
      </w:r>
      <w:r>
        <w:rPr>
          <w:rFonts w:ascii="Microsoft YaHei" w:hAnsi="Microsoft YaHei" w:eastAsia="Microsoft YaHei" w:cs="Microsoft YaHei"/>
          <w:sz w:val="16"/>
          <w:szCs w:val="16"/>
          <w:spacing w:val="-1"/>
        </w:rPr>
        <w:t>《会计改革与发展</w:t>
      </w:r>
      <w:r>
        <w:rPr>
          <w:rFonts w:ascii="Arial" w:hAnsi="Arial" w:eastAsia="Arial" w:cs="Arial"/>
          <w:sz w:val="16"/>
          <w:szCs w:val="16"/>
          <w:spacing w:val="-1"/>
        </w:rPr>
        <w:t>“</w:t>
      </w:r>
      <w:r>
        <w:rPr>
          <w:rFonts w:ascii="Microsoft YaHei" w:hAnsi="Microsoft YaHei" w:eastAsia="Microsoft YaHei" w:cs="Microsoft YaHei"/>
          <w:sz w:val="16"/>
          <w:szCs w:val="16"/>
          <w:spacing w:val="-1"/>
        </w:rPr>
        <w:t>十四五</w:t>
      </w:r>
      <w:r>
        <w:rPr>
          <w:rFonts w:ascii="Arial" w:hAnsi="Arial" w:eastAsia="Arial" w:cs="Arial"/>
          <w:sz w:val="16"/>
          <w:szCs w:val="16"/>
          <w:spacing w:val="-1"/>
        </w:rPr>
        <w:t>”</w:t>
      </w:r>
      <w:r>
        <w:rPr>
          <w:rFonts w:ascii="Microsoft YaHei" w:hAnsi="Microsoft YaHei" w:eastAsia="Microsoft YaHei" w:cs="Microsoft YaHei"/>
          <w:sz w:val="16"/>
          <w:szCs w:val="16"/>
          <w:spacing w:val="-1"/>
        </w:rPr>
        <w:t>规划纲要》系列解读之三</w:t>
      </w:r>
    </w:p>
    <w:p>
      <w:pPr>
        <w:ind w:left="1043" w:right="1016" w:firstLine="365"/>
        <w:spacing w:before="136" w:line="327" w:lineRule="auto"/>
        <w:rPr>
          <w:rFonts w:ascii="SimSun" w:hAnsi="SimSun" w:eastAsia="SimSun" w:cs="SimSun"/>
          <w:sz w:val="17"/>
          <w:szCs w:val="17"/>
        </w:rPr>
      </w:pPr>
      <w:r>
        <w:rPr>
          <w:rFonts w:ascii="SimSun" w:hAnsi="SimSun" w:eastAsia="SimSun" w:cs="SimSun"/>
          <w:sz w:val="17"/>
          <w:szCs w:val="17"/>
          <w:color w:val="333333"/>
          <w:spacing w:val="5"/>
        </w:rPr>
        <w:t>1.建立会计准则实施工作机制并发挥重要作用，及时了解准则实施效果，切实解决准则实施问题。一是会同国资委、银保监</w:t>
      </w:r>
      <w:r>
        <w:rPr>
          <w:rFonts w:ascii="SimSun" w:hAnsi="SimSun" w:eastAsia="SimSun" w:cs="SimSun"/>
          <w:sz w:val="17"/>
          <w:szCs w:val="17"/>
          <w:color w:val="333333"/>
          <w:spacing w:val="19"/>
        </w:rPr>
        <w:t> </w:t>
      </w:r>
      <w:r>
        <w:rPr>
          <w:rFonts w:ascii="SimSun" w:hAnsi="SimSun" w:eastAsia="SimSun" w:cs="SimSun"/>
          <w:sz w:val="17"/>
          <w:szCs w:val="17"/>
          <w:color w:val="333333"/>
          <w:spacing w:val="2"/>
        </w:rPr>
        <w:t>会、证监会等部门建立企业会计准则实施联席会议机制，沟通准则实施和相关监管中的问题，协调监管立场。二是会同企业、会计</w:t>
      </w:r>
      <w:r>
        <w:rPr>
          <w:rFonts w:ascii="SimSun" w:hAnsi="SimSun" w:eastAsia="SimSun" w:cs="SimSun"/>
          <w:sz w:val="17"/>
          <w:szCs w:val="17"/>
          <w:color w:val="333333"/>
          <w:spacing w:val="35"/>
        </w:rPr>
        <w:t> </w:t>
      </w:r>
      <w:r>
        <w:rPr>
          <w:rFonts w:ascii="SimSun" w:hAnsi="SimSun" w:eastAsia="SimSun" w:cs="SimSun"/>
          <w:sz w:val="17"/>
          <w:szCs w:val="17"/>
          <w:color w:val="333333"/>
          <w:spacing w:val="2"/>
        </w:rPr>
        <w:t>师事务所等实务界建立企业会计准则实施技术联络小组会议机制，研究并解决准则实施重点难点技术问题。三是针对收入、金融、</w:t>
      </w:r>
      <w:r>
        <w:rPr>
          <w:rFonts w:ascii="SimSun" w:hAnsi="SimSun" w:eastAsia="SimSun" w:cs="SimSun"/>
          <w:sz w:val="17"/>
          <w:szCs w:val="17"/>
          <w:color w:val="333333"/>
          <w:spacing w:val="35"/>
        </w:rPr>
        <w:t> </w:t>
      </w:r>
      <w:r>
        <w:rPr>
          <w:rFonts w:ascii="SimSun" w:hAnsi="SimSun" w:eastAsia="SimSun" w:cs="SimSun"/>
          <w:sz w:val="17"/>
          <w:szCs w:val="17"/>
          <w:color w:val="333333"/>
          <w:spacing w:val="1"/>
        </w:rPr>
        <w:t>保险等重点准则建立准则实施工作组机制，研究解决重点准则实施中的难点痛点堵点。</w:t>
      </w:r>
    </w:p>
    <w:p>
      <w:pPr>
        <w:ind w:left="1044" w:right="1016" w:firstLine="347"/>
        <w:spacing w:before="108" w:line="327" w:lineRule="auto"/>
        <w:rPr>
          <w:rFonts w:ascii="SimSun" w:hAnsi="SimSun" w:eastAsia="SimSun" w:cs="SimSun"/>
          <w:sz w:val="17"/>
          <w:szCs w:val="17"/>
        </w:rPr>
      </w:pPr>
      <w:r>
        <w:rPr>
          <w:rFonts w:ascii="SimSun" w:hAnsi="SimSun" w:eastAsia="SimSun" w:cs="SimSun"/>
          <w:sz w:val="17"/>
          <w:szCs w:val="17"/>
          <w:color w:val="333333"/>
          <w:spacing w:val="2"/>
        </w:rPr>
        <w:t>2.广泛收集准则实施问题，积极回应解决，加大准则实务指导力度。一是研究建立企业会计准则实施快速反应机制，及时广泛</w:t>
      </w:r>
      <w:r>
        <w:rPr>
          <w:rFonts w:ascii="SimSun" w:hAnsi="SimSun" w:eastAsia="SimSun" w:cs="SimSun"/>
          <w:sz w:val="17"/>
          <w:szCs w:val="17"/>
          <w:color w:val="333333"/>
          <w:spacing w:val="29"/>
        </w:rPr>
        <w:t> </w:t>
      </w:r>
      <w:r>
        <w:rPr>
          <w:rFonts w:ascii="SimSun" w:hAnsi="SimSun" w:eastAsia="SimSun" w:cs="SimSun"/>
          <w:sz w:val="17"/>
          <w:szCs w:val="17"/>
          <w:color w:val="333333"/>
          <w:spacing w:val="2"/>
        </w:rPr>
        <w:t>收集准则实施问题。二是针对准则实施中普遍关注的问题，通过准则应用案例、实施问答、网民答复等多种灵活多样形式，分层分</w:t>
      </w:r>
      <w:r>
        <w:rPr>
          <w:rFonts w:ascii="SimSun" w:hAnsi="SimSun" w:eastAsia="SimSun" w:cs="SimSun"/>
          <w:sz w:val="17"/>
          <w:szCs w:val="17"/>
          <w:color w:val="333333"/>
          <w:spacing w:val="34"/>
        </w:rPr>
        <w:t> </w:t>
      </w:r>
      <w:r>
        <w:rPr>
          <w:rFonts w:ascii="SimSun" w:hAnsi="SimSun" w:eastAsia="SimSun" w:cs="SimSun"/>
          <w:sz w:val="17"/>
          <w:szCs w:val="17"/>
          <w:color w:val="333333"/>
        </w:rPr>
        <w:t>类研究解决，以提供技术指引、有效指导实务。</w:t>
      </w:r>
    </w:p>
    <w:p>
      <w:pPr>
        <w:ind w:left="1045" w:right="1016" w:firstLine="347"/>
        <w:spacing w:before="107" w:line="327" w:lineRule="auto"/>
        <w:rPr>
          <w:rFonts w:ascii="SimSun" w:hAnsi="SimSun" w:eastAsia="SimSun" w:cs="SimSun"/>
          <w:sz w:val="17"/>
          <w:szCs w:val="17"/>
        </w:rPr>
      </w:pPr>
      <w:r>
        <w:rPr>
          <w:rFonts w:ascii="SimSun" w:hAnsi="SimSun" w:eastAsia="SimSun" w:cs="SimSun"/>
          <w:sz w:val="17"/>
          <w:szCs w:val="17"/>
          <w:color w:val="333333"/>
          <w:spacing w:val="2"/>
        </w:rPr>
        <w:t>3.加强会计准则宣传培训，对准则实施重点难点讲解，提升准则实施效果。联合银保监会、证监会等有关部门探索会计准则线</w:t>
      </w:r>
      <w:r>
        <w:rPr>
          <w:rFonts w:ascii="SimSun" w:hAnsi="SimSun" w:eastAsia="SimSun" w:cs="SimSun"/>
          <w:sz w:val="17"/>
          <w:szCs w:val="17"/>
          <w:color w:val="333333"/>
          <w:spacing w:val="27"/>
        </w:rPr>
        <w:t> </w:t>
      </w:r>
      <w:r>
        <w:rPr>
          <w:rFonts w:ascii="SimSun" w:hAnsi="SimSun" w:eastAsia="SimSun" w:cs="SimSun"/>
          <w:sz w:val="17"/>
          <w:szCs w:val="17"/>
          <w:color w:val="333333"/>
          <w:spacing w:val="1"/>
        </w:rPr>
        <w:t>上培训方式，讲深讲透重难点准则中重点难点问题，强调准则实施需关注事项，引导实务提高准则实施质量。</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rPr>
        <w:t>（三）积极发挥会计准则委员会在企业会计准则制定中的作用。</w:t>
      </w:r>
    </w:p>
    <w:p>
      <w:pPr>
        <w:ind w:firstLine="1377"/>
        <w:spacing w:before="236" w:line="187" w:lineRule="auto"/>
        <w:rPr>
          <w:rFonts w:ascii="SimSun" w:hAnsi="SimSun" w:eastAsia="SimSun" w:cs="SimSun"/>
          <w:sz w:val="17"/>
          <w:szCs w:val="17"/>
        </w:rPr>
      </w:pPr>
      <w:r>
        <w:rPr>
          <w:rFonts w:ascii="SimSun" w:hAnsi="SimSun" w:eastAsia="SimSun" w:cs="SimSun"/>
          <w:sz w:val="17"/>
          <w:szCs w:val="17"/>
          <w:color w:val="333333"/>
          <w:spacing w:val="1"/>
        </w:rPr>
        <w:t>“十三五”期间，会计准则委员会稳步推动各项工作，助力企业会计准则体系建设。</w:t>
      </w:r>
    </w:p>
    <w:p>
      <w:pPr>
        <w:ind w:left="1047" w:right="1016" w:firstLine="354"/>
        <w:spacing w:before="237" w:line="327" w:lineRule="auto"/>
        <w:rPr>
          <w:rFonts w:ascii="SimSun" w:hAnsi="SimSun" w:eastAsia="SimSun" w:cs="SimSun"/>
          <w:sz w:val="17"/>
          <w:szCs w:val="17"/>
        </w:rPr>
      </w:pPr>
      <w:r>
        <w:rPr>
          <w:rFonts w:ascii="SimSun" w:hAnsi="SimSun" w:eastAsia="SimSun" w:cs="SimSun"/>
          <w:sz w:val="17"/>
          <w:szCs w:val="17"/>
          <w:color w:val="333333"/>
          <w:spacing w:val="2"/>
        </w:rPr>
        <w:t>1.跟踪国际财务报告准则最新进展，深入开展国际财务报告准则研究，组织召开、积极参与会计国际交流会议，向国际会计准</w:t>
      </w:r>
      <w:r>
        <w:rPr>
          <w:rFonts w:ascii="SimSun" w:hAnsi="SimSun" w:eastAsia="SimSun" w:cs="SimSun"/>
          <w:sz w:val="17"/>
          <w:szCs w:val="17"/>
          <w:color w:val="333333"/>
          <w:spacing w:val="18"/>
        </w:rPr>
        <w:t> </w:t>
      </w:r>
      <w:r>
        <w:rPr>
          <w:rFonts w:ascii="SimSun" w:hAnsi="SimSun" w:eastAsia="SimSun" w:cs="SimSun"/>
          <w:sz w:val="17"/>
          <w:szCs w:val="17"/>
          <w:color w:val="333333"/>
          <w:spacing w:val="-2"/>
        </w:rPr>
        <w:t>则理事会反馈意见。</w:t>
      </w:r>
    </w:p>
    <w:p>
      <w:pPr>
        <w:ind w:left="1043" w:right="1016" w:firstLine="348"/>
        <w:spacing w:before="108" w:line="327" w:lineRule="auto"/>
        <w:rPr>
          <w:rFonts w:ascii="SimSun" w:hAnsi="SimSun" w:eastAsia="SimSun" w:cs="SimSun"/>
          <w:sz w:val="17"/>
          <w:szCs w:val="17"/>
        </w:rPr>
      </w:pPr>
      <w:r>
        <w:rPr>
          <w:rFonts w:ascii="SimSun" w:hAnsi="SimSun" w:eastAsia="SimSun" w:cs="SimSun"/>
          <w:sz w:val="17"/>
          <w:szCs w:val="17"/>
          <w:color w:val="333333"/>
          <w:spacing w:val="2"/>
        </w:rPr>
        <w:t>2.持续推进会计准则动态编写工作，跟踪国际会计准则理事会准则项目最新动态、欧美等主要经济体会计准则最新动态、国际</w:t>
      </w:r>
      <w:r>
        <w:rPr>
          <w:rFonts w:ascii="SimSun" w:hAnsi="SimSun" w:eastAsia="SimSun" w:cs="SimSun"/>
          <w:sz w:val="17"/>
          <w:szCs w:val="17"/>
          <w:color w:val="333333"/>
          <w:spacing w:val="29"/>
        </w:rPr>
        <w:t> </w:t>
      </w:r>
      <w:r>
        <w:rPr>
          <w:rFonts w:ascii="SimSun" w:hAnsi="SimSun" w:eastAsia="SimSun" w:cs="SimSun"/>
          <w:sz w:val="17"/>
          <w:szCs w:val="17"/>
          <w:color w:val="333333"/>
        </w:rPr>
        <w:t>会议最新情况、咨询委员会观点摘编等。</w:t>
      </w:r>
    </w:p>
    <w:p>
      <w:pPr>
        <w:ind w:left="1043" w:right="1016" w:firstLine="349"/>
        <w:spacing w:before="108" w:line="327" w:lineRule="auto"/>
        <w:rPr>
          <w:rFonts w:ascii="SimSun" w:hAnsi="SimSun" w:eastAsia="SimSun" w:cs="SimSun"/>
          <w:sz w:val="17"/>
          <w:szCs w:val="17"/>
        </w:rPr>
      </w:pPr>
      <w:r>
        <w:rPr>
          <w:rFonts w:ascii="SimSun" w:hAnsi="SimSun" w:eastAsia="SimSun" w:cs="SimSun"/>
          <w:sz w:val="17"/>
          <w:szCs w:val="17"/>
          <w:color w:val="333333"/>
          <w:spacing w:val="2"/>
        </w:rPr>
        <w:t>3.重新梳理外部咨询专家组织框架，重新组建第一届、第二届企业会计准则咨询委员会，发挥咨询委员在企业会计准则建设过</w:t>
      </w:r>
      <w:r>
        <w:rPr>
          <w:rFonts w:ascii="SimSun" w:hAnsi="SimSun" w:eastAsia="SimSun" w:cs="SimSun"/>
          <w:sz w:val="17"/>
          <w:szCs w:val="17"/>
          <w:color w:val="333333"/>
          <w:spacing w:val="27"/>
        </w:rPr>
        <w:t> </w:t>
      </w:r>
      <w:r>
        <w:rPr>
          <w:rFonts w:ascii="SimSun" w:hAnsi="SimSun" w:eastAsia="SimSun" w:cs="SimSun"/>
          <w:sz w:val="17"/>
          <w:szCs w:val="17"/>
          <w:color w:val="333333"/>
          <w:spacing w:val="1"/>
        </w:rPr>
        <w:t>程中的咨询和智力支持作用，实施国际化高端会计人才培养工程，为服务我国企业会计准则的建设贡献力量。</w:t>
      </w:r>
    </w:p>
    <w:p>
      <w:pPr>
        <w:ind w:firstLine="1735"/>
        <w:spacing w:before="108" w:line="187" w:lineRule="auto"/>
        <w:rPr>
          <w:rFonts w:ascii="SimSun" w:hAnsi="SimSun" w:eastAsia="SimSun" w:cs="SimSun"/>
          <w:sz w:val="17"/>
          <w:szCs w:val="17"/>
        </w:rPr>
      </w:pPr>
      <w:r>
        <w:rPr>
          <w:rFonts w:ascii="SimSun" w:hAnsi="SimSun" w:eastAsia="SimSun" w:cs="SimSun"/>
          <w:sz w:val="17"/>
          <w:szCs w:val="17"/>
          <w:color w:val="333333"/>
          <w:spacing w:val="12"/>
        </w:rPr>
        <w:t>二、当前企业会计准则体系建设与实施面临的形势及其影响</w:t>
      </w:r>
    </w:p>
    <w:p>
      <w:pPr>
        <w:ind w:left="1045" w:right="1016" w:firstLine="355"/>
        <w:spacing w:before="237" w:line="327" w:lineRule="auto"/>
        <w:rPr>
          <w:rFonts w:ascii="SimSun" w:hAnsi="SimSun" w:eastAsia="SimSun" w:cs="SimSun"/>
          <w:sz w:val="17"/>
          <w:szCs w:val="17"/>
        </w:rPr>
      </w:pPr>
      <w:r>
        <w:rPr>
          <w:rFonts w:ascii="SimSun" w:hAnsi="SimSun" w:eastAsia="SimSun" w:cs="SimSun"/>
          <w:sz w:val="17"/>
          <w:szCs w:val="17"/>
          <w:color w:val="333333"/>
          <w:spacing w:val="2"/>
        </w:rPr>
        <w:t>习近平总书记指出，面对复杂形势和艰巨任务，要全面把握世界面临百年未有之大变局和中华民族伟大复兴战略全局。当前，</w:t>
      </w:r>
      <w:r>
        <w:rPr>
          <w:rFonts w:ascii="SimSun" w:hAnsi="SimSun" w:eastAsia="SimSun" w:cs="SimSun"/>
          <w:sz w:val="17"/>
          <w:szCs w:val="17"/>
          <w:color w:val="333333"/>
          <w:spacing w:val="21"/>
          <w:w w:val="101"/>
        </w:rPr>
        <w:t> </w:t>
      </w:r>
      <w:r>
        <w:rPr>
          <w:rFonts w:ascii="SimSun" w:hAnsi="SimSun" w:eastAsia="SimSun" w:cs="SimSun"/>
          <w:sz w:val="17"/>
          <w:szCs w:val="17"/>
          <w:color w:val="333333"/>
          <w:spacing w:val="2"/>
        </w:rPr>
        <w:t>我国经济已经与世界经济深度融合，国内全面深化改革正稳步推进，对企业会计准则体系建设和实施提出了新的更高要求。我们必</w:t>
      </w:r>
      <w:r>
        <w:rPr>
          <w:rFonts w:ascii="SimSun" w:hAnsi="SimSun" w:eastAsia="SimSun" w:cs="SimSun"/>
          <w:sz w:val="17"/>
          <w:szCs w:val="17"/>
          <w:color w:val="333333"/>
          <w:spacing w:val="33"/>
        </w:rPr>
        <w:t> </w:t>
      </w:r>
      <w:r>
        <w:rPr>
          <w:rFonts w:ascii="SimSun" w:hAnsi="SimSun" w:eastAsia="SimSun" w:cs="SimSun"/>
          <w:sz w:val="17"/>
          <w:szCs w:val="17"/>
          <w:color w:val="333333"/>
          <w:spacing w:val="1"/>
        </w:rPr>
        <w:t>须提高站位、审时度势，深刻认识企业会计准则体系建设和实施所面临的形势及其影响。</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spacing w:val="1"/>
        </w:rPr>
        <w:t>（一）服务经济高质量发展，提升我国经济的创新力和竞争力，需要企业会计准则体系及时跟进。</w:t>
      </w:r>
    </w:p>
    <w:p>
      <w:pPr>
        <w:ind w:left="1043" w:right="1016" w:firstLine="357"/>
        <w:spacing w:before="238" w:line="327" w:lineRule="auto"/>
        <w:rPr>
          <w:rFonts w:ascii="SimSun" w:hAnsi="SimSun" w:eastAsia="SimSun" w:cs="SimSun"/>
          <w:sz w:val="17"/>
          <w:szCs w:val="17"/>
        </w:rPr>
      </w:pPr>
      <w:r>
        <w:rPr>
          <w:rFonts w:ascii="SimSun" w:hAnsi="SimSun" w:eastAsia="SimSun" w:cs="SimSun"/>
          <w:sz w:val="17"/>
          <w:szCs w:val="17"/>
          <w:color w:val="333333"/>
          <w:spacing w:val="2"/>
        </w:rPr>
        <w:t>当前，我国经济增长已由高速增长阶段转向高质量发展阶段，正处在转变发展方式、优化经济结构、转换增长动力的攻关期，</w:t>
      </w:r>
      <w:r>
        <w:rPr>
          <w:rFonts w:ascii="SimSun" w:hAnsi="SimSun" w:eastAsia="SimSun" w:cs="SimSun"/>
          <w:sz w:val="17"/>
          <w:szCs w:val="17"/>
          <w:color w:val="333333"/>
          <w:spacing w:val="22"/>
        </w:rPr>
        <w:t> </w:t>
      </w:r>
      <w:r>
        <w:rPr>
          <w:rFonts w:ascii="SimSun" w:hAnsi="SimSun" w:eastAsia="SimSun" w:cs="SimSun"/>
          <w:sz w:val="17"/>
          <w:szCs w:val="17"/>
          <w:color w:val="333333"/>
          <w:spacing w:val="2"/>
        </w:rPr>
        <w:t>坚持质量第一、效益优先，以供给侧结构性改革为主线，推动经济发展质量变革、效率变革、动力变革，提高全要素生产率，不断</w:t>
      </w:r>
      <w:r>
        <w:rPr>
          <w:rFonts w:ascii="SimSun" w:hAnsi="SimSun" w:eastAsia="SimSun" w:cs="SimSun"/>
          <w:sz w:val="17"/>
          <w:szCs w:val="17"/>
          <w:color w:val="333333"/>
          <w:spacing w:val="35"/>
        </w:rPr>
        <w:t> </w:t>
      </w:r>
      <w:r>
        <w:rPr>
          <w:rFonts w:ascii="SimSun" w:hAnsi="SimSun" w:eastAsia="SimSun" w:cs="SimSun"/>
          <w:sz w:val="17"/>
          <w:szCs w:val="17"/>
          <w:color w:val="333333"/>
          <w:spacing w:val="5"/>
        </w:rPr>
        <w:t>增强我国经济创新力和竞争力。在我国经济不断深化改革的进程中，经济业务事项的变革必然引起会计核算、会计理念等发生转</w:t>
      </w:r>
      <w:r>
        <w:rPr>
          <w:rFonts w:ascii="SimSun" w:hAnsi="SimSun" w:eastAsia="SimSun" w:cs="SimSun"/>
          <w:sz w:val="17"/>
          <w:szCs w:val="17"/>
          <w:color w:val="333333"/>
          <w:spacing w:val="39"/>
        </w:rPr>
        <w:t> </w:t>
      </w:r>
      <w:r>
        <w:rPr>
          <w:rFonts w:ascii="SimSun" w:hAnsi="SimSun" w:eastAsia="SimSun" w:cs="SimSun"/>
          <w:sz w:val="17"/>
          <w:szCs w:val="17"/>
          <w:color w:val="333333"/>
          <w:spacing w:val="2"/>
        </w:rPr>
        <w:t>变，并对会计信息披露提出了新的更高需求，迫切需要企业会计准则建设同步跟进。与此同时，随着新一轮科技革命和产业变革深</w:t>
      </w:r>
      <w:r>
        <w:rPr>
          <w:rFonts w:ascii="SimSun" w:hAnsi="SimSun" w:eastAsia="SimSun" w:cs="SimSun"/>
          <w:sz w:val="17"/>
          <w:szCs w:val="17"/>
          <w:color w:val="333333"/>
          <w:spacing w:val="35"/>
        </w:rPr>
        <w:t> </w:t>
      </w:r>
      <w:r>
        <w:rPr>
          <w:rFonts w:ascii="SimSun" w:hAnsi="SimSun" w:eastAsia="SimSun" w:cs="SimSun"/>
          <w:sz w:val="17"/>
          <w:szCs w:val="17"/>
          <w:color w:val="333333"/>
          <w:spacing w:val="2"/>
        </w:rPr>
        <w:t>入发展，传统制造业正与大数据、人工智能、互联网、云计算等新经济新技术深度融合，经济转型升级和创新发展中新的商业模式</w:t>
      </w:r>
      <w:r>
        <w:rPr>
          <w:rFonts w:ascii="SimSun" w:hAnsi="SimSun" w:eastAsia="SimSun" w:cs="SimSun"/>
          <w:sz w:val="17"/>
          <w:szCs w:val="17"/>
          <w:color w:val="333333"/>
          <w:spacing w:val="35"/>
        </w:rPr>
        <w:t> </w:t>
      </w:r>
      <w:r>
        <w:rPr>
          <w:rFonts w:ascii="SimSun" w:hAnsi="SimSun" w:eastAsia="SimSun" w:cs="SimSun"/>
          <w:sz w:val="17"/>
          <w:szCs w:val="17"/>
          <w:color w:val="333333"/>
          <w:spacing w:val="1"/>
        </w:rPr>
        <w:t>层出不穷，将深刻影响会计政策的发展与走向，客观上需要企业会计准则建设同步革新，反映经济业务发展趋势。</w:t>
      </w:r>
    </w:p>
    <w:p>
      <w:pPr>
        <w:ind w:firstLine="1394"/>
        <w:spacing w:before="108" w:line="187" w:lineRule="auto"/>
        <w:rPr>
          <w:rFonts w:ascii="SimSun" w:hAnsi="SimSun" w:eastAsia="SimSun" w:cs="SimSun"/>
          <w:sz w:val="17"/>
          <w:szCs w:val="17"/>
        </w:rPr>
      </w:pPr>
      <w:r>
        <w:rPr>
          <w:rFonts w:ascii="SimSun" w:hAnsi="SimSun" w:eastAsia="SimSun" w:cs="SimSun"/>
          <w:sz w:val="17"/>
          <w:szCs w:val="17"/>
          <w:color w:val="333333"/>
        </w:rPr>
        <w:t>（二）服务资本市场全面深化改革，需要企业会计准则体系作为制度保证。</w:t>
      </w:r>
    </w:p>
    <w:p>
      <w:pPr>
        <w:ind w:left="1043" w:right="1016" w:firstLine="357"/>
        <w:spacing w:before="237" w:line="327" w:lineRule="auto"/>
        <w:rPr>
          <w:rFonts w:ascii="SimSun" w:hAnsi="SimSun" w:eastAsia="SimSun" w:cs="SimSun"/>
          <w:sz w:val="17"/>
          <w:szCs w:val="17"/>
        </w:rPr>
      </w:pPr>
      <w:r>
        <w:rPr>
          <w:rFonts w:ascii="SimSun" w:hAnsi="SimSun" w:eastAsia="SimSun" w:cs="SimSun"/>
          <w:sz w:val="17"/>
          <w:szCs w:val="17"/>
          <w:color w:val="333333"/>
          <w:spacing w:val="2"/>
        </w:rPr>
        <w:t>当前，我国正在推进资本市场全面深化改革，市场配置资源的决定性作用显著增强，特别是股票发行注册制改革坚持以信息披</w:t>
      </w:r>
      <w:r>
        <w:rPr>
          <w:rFonts w:ascii="SimSun" w:hAnsi="SimSun" w:eastAsia="SimSun" w:cs="SimSun"/>
          <w:sz w:val="17"/>
          <w:szCs w:val="17"/>
          <w:color w:val="333333"/>
          <w:spacing w:val="22"/>
        </w:rPr>
        <w:t> </w:t>
      </w:r>
      <w:r>
        <w:rPr>
          <w:rFonts w:ascii="SimSun" w:hAnsi="SimSun" w:eastAsia="SimSun" w:cs="SimSun"/>
          <w:sz w:val="17"/>
          <w:szCs w:val="17"/>
          <w:color w:val="333333"/>
          <w:spacing w:val="2"/>
        </w:rPr>
        <w:t>露为核心，以财务会计报告为载体的会计信息则是信息披露的重要内容。上市公司依据企业会计准则进行确认、计量、并生成财务</w:t>
      </w:r>
      <w:r>
        <w:rPr>
          <w:rFonts w:ascii="SimSun" w:hAnsi="SimSun" w:eastAsia="SimSun" w:cs="SimSun"/>
          <w:sz w:val="17"/>
          <w:szCs w:val="17"/>
          <w:color w:val="333333"/>
          <w:spacing w:val="35"/>
        </w:rPr>
        <w:t> </w:t>
      </w:r>
      <w:r>
        <w:rPr>
          <w:rFonts w:ascii="SimSun" w:hAnsi="SimSun" w:eastAsia="SimSun" w:cs="SimSun"/>
          <w:sz w:val="17"/>
          <w:szCs w:val="17"/>
          <w:color w:val="333333"/>
          <w:spacing w:val="2"/>
        </w:rPr>
        <w:t>会计报告，投资者据此进行价值判断与做出投资决策。高质量的企业会计准则建设有助于促进资本市场优化资源配置，有助于充分</w:t>
      </w:r>
      <w:r>
        <w:rPr>
          <w:rFonts w:ascii="SimSun" w:hAnsi="SimSun" w:eastAsia="SimSun" w:cs="SimSun"/>
          <w:sz w:val="17"/>
          <w:szCs w:val="17"/>
          <w:color w:val="333333"/>
          <w:spacing w:val="35"/>
        </w:rPr>
        <w:t> </w:t>
      </w:r>
      <w:r>
        <w:rPr>
          <w:rFonts w:ascii="SimSun" w:hAnsi="SimSun" w:eastAsia="SimSun" w:cs="SimSun"/>
          <w:sz w:val="17"/>
          <w:szCs w:val="17"/>
          <w:color w:val="333333"/>
          <w:spacing w:val="-1"/>
        </w:rPr>
        <w:t>保护广大投资者的权益。</w:t>
      </w:r>
    </w:p>
    <w:p>
      <w:pPr>
        <w:ind w:firstLine="1394"/>
        <w:spacing w:before="108" w:line="187" w:lineRule="auto"/>
        <w:rPr>
          <w:rFonts w:ascii="SimSun" w:hAnsi="SimSun" w:eastAsia="SimSun" w:cs="SimSun"/>
          <w:sz w:val="17"/>
          <w:szCs w:val="17"/>
        </w:rPr>
      </w:pPr>
      <w:r>
        <w:rPr>
          <w:rFonts w:ascii="SimSun" w:hAnsi="SimSun" w:eastAsia="SimSun" w:cs="SimSun"/>
          <w:sz w:val="17"/>
          <w:szCs w:val="17"/>
          <w:color w:val="333333"/>
        </w:rPr>
        <w:t>（三）服务财会监督职能，需要企业会计准则体系作为评判准绳。</w:t>
      </w:r>
    </w:p>
    <w:p>
      <w:pPr>
        <w:ind w:left="1046" w:right="1016" w:firstLine="346"/>
        <w:spacing w:before="237" w:line="327" w:lineRule="auto"/>
        <w:rPr>
          <w:rFonts w:ascii="SimSun" w:hAnsi="SimSun" w:eastAsia="SimSun" w:cs="SimSun"/>
          <w:sz w:val="17"/>
          <w:szCs w:val="17"/>
        </w:rPr>
      </w:pPr>
      <w:r>
        <w:rPr>
          <w:rFonts w:ascii="SimSun" w:hAnsi="SimSun" w:eastAsia="SimSun" w:cs="SimSun"/>
          <w:sz w:val="17"/>
          <w:szCs w:val="17"/>
          <w:color w:val="333333"/>
          <w:spacing w:val="2"/>
        </w:rPr>
        <w:t>企业会计准则是国家统一的会计制度的重要组成内容，是国务院财政部门依法履行会计管理职能、开展会计监督的重要依据，</w:t>
      </w:r>
      <w:r>
        <w:rPr>
          <w:rFonts w:ascii="SimSun" w:hAnsi="SimSun" w:eastAsia="SimSun" w:cs="SimSun"/>
          <w:sz w:val="17"/>
          <w:szCs w:val="17"/>
          <w:color w:val="333333"/>
          <w:spacing w:val="30"/>
        </w:rPr>
        <w:t> </w:t>
      </w:r>
      <w:r>
        <w:rPr>
          <w:rFonts w:ascii="SimSun" w:hAnsi="SimSun" w:eastAsia="SimSun" w:cs="SimSun"/>
          <w:sz w:val="17"/>
          <w:szCs w:val="17"/>
          <w:color w:val="333333"/>
          <w:spacing w:val="2"/>
        </w:rPr>
        <w:t>更是党和国家财经纪律在会计领域的具体体现。高质量的企业会计准则体系，将为深化财会监督、维护财经法纪提供更加科学有效</w:t>
      </w:r>
      <w:r>
        <w:rPr>
          <w:rFonts w:ascii="SimSun" w:hAnsi="SimSun" w:eastAsia="SimSun" w:cs="SimSun"/>
          <w:sz w:val="17"/>
          <w:szCs w:val="17"/>
          <w:color w:val="333333"/>
          <w:spacing w:val="32"/>
        </w:rPr>
        <w:t> </w:t>
      </w:r>
      <w:r>
        <w:rPr>
          <w:rFonts w:ascii="SimSun" w:hAnsi="SimSun" w:eastAsia="SimSun" w:cs="SimSun"/>
          <w:sz w:val="17"/>
          <w:szCs w:val="17"/>
          <w:color w:val="333333"/>
          <w:spacing w:val="-1"/>
        </w:rPr>
        <w:t>的评判准绳，维护准则的权威性。</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spacing w:val="1"/>
        </w:rPr>
        <w:t>（四）服务提高国际双向投资水平、促进国内国际双循环，需要企业会计准则体系作为重要规则标准。</w:t>
      </w:r>
    </w:p>
    <w:p>
      <w:pPr>
        <w:ind w:left="1044" w:right="1016" w:firstLine="355"/>
        <w:spacing w:before="238" w:line="327" w:lineRule="auto"/>
        <w:rPr>
          <w:rFonts w:ascii="SimSun" w:hAnsi="SimSun" w:eastAsia="SimSun" w:cs="SimSun"/>
          <w:sz w:val="17"/>
          <w:szCs w:val="17"/>
        </w:rPr>
      </w:pPr>
      <w:r>
        <w:rPr>
          <w:rFonts w:ascii="SimSun" w:hAnsi="SimSun" w:eastAsia="SimSun" w:cs="SimSun"/>
          <w:sz w:val="17"/>
          <w:szCs w:val="17"/>
          <w:color w:val="333333"/>
          <w:spacing w:val="2"/>
        </w:rPr>
        <w:t>当前，我国要加快构建以国内大循环为主体、国内国际双循环相互促进的新发展格局，会计准则是国际通用的商业语言，也是</w:t>
      </w:r>
      <w:r>
        <w:rPr>
          <w:rFonts w:ascii="SimSun" w:hAnsi="SimSun" w:eastAsia="SimSun" w:cs="SimSun"/>
          <w:sz w:val="17"/>
          <w:szCs w:val="17"/>
          <w:color w:val="333333"/>
          <w:spacing w:val="22"/>
        </w:rPr>
        <w:t> </w:t>
      </w:r>
      <w:r>
        <w:rPr>
          <w:rFonts w:ascii="SimSun" w:hAnsi="SimSun" w:eastAsia="SimSun" w:cs="SimSun"/>
          <w:sz w:val="17"/>
          <w:szCs w:val="17"/>
          <w:color w:val="333333"/>
          <w:spacing w:val="2"/>
        </w:rPr>
        <w:t>促进国内国际贸易和资金畅通、实现共同发展的重要的“基础设施”</w:t>
      </w:r>
      <w:r>
        <w:rPr>
          <w:rFonts w:ascii="SimSun" w:hAnsi="SimSun" w:eastAsia="SimSun" w:cs="SimSun"/>
          <w:sz w:val="17"/>
          <w:szCs w:val="17"/>
          <w:color w:val="333333"/>
          <w:spacing w:val="-51"/>
        </w:rPr>
        <w:t> </w:t>
      </w:r>
      <w:r>
        <w:rPr>
          <w:rFonts w:ascii="SimSun" w:hAnsi="SimSun" w:eastAsia="SimSun" w:cs="SimSun"/>
          <w:sz w:val="17"/>
          <w:szCs w:val="17"/>
          <w:color w:val="333333"/>
          <w:spacing w:val="2"/>
        </w:rPr>
        <w:t>。我国企业会计准则实现与中国香港、欧盟、英国等国家或地</w:t>
      </w:r>
      <w:r>
        <w:rPr>
          <w:rFonts w:ascii="SimSun" w:hAnsi="SimSun" w:eastAsia="SimSun" w:cs="SimSun"/>
          <w:sz w:val="17"/>
          <w:szCs w:val="17"/>
          <w:color w:val="333333"/>
        </w:rPr>
        <w:t> </w:t>
      </w:r>
      <w:r>
        <w:rPr>
          <w:rFonts w:ascii="SimSun" w:hAnsi="SimSun" w:eastAsia="SimSun" w:cs="SimSun"/>
          <w:sz w:val="17"/>
          <w:szCs w:val="17"/>
          <w:color w:val="333333"/>
          <w:spacing w:val="2"/>
        </w:rPr>
        <w:t>区的等效趋同，为我国企业降低海外上市融资成本、</w:t>
      </w:r>
      <w:r>
        <w:rPr>
          <w:rFonts w:ascii="SimSun" w:hAnsi="SimSun" w:eastAsia="SimSun" w:cs="SimSun"/>
          <w:sz w:val="17"/>
          <w:szCs w:val="17"/>
          <w:color w:val="333333"/>
          <w:spacing w:val="-51"/>
        </w:rPr>
        <w:t> </w:t>
      </w:r>
      <w:r>
        <w:rPr>
          <w:rFonts w:ascii="SimSun" w:hAnsi="SimSun" w:eastAsia="SimSun" w:cs="SimSun"/>
          <w:sz w:val="17"/>
          <w:szCs w:val="17"/>
          <w:color w:val="333333"/>
          <w:spacing w:val="2"/>
        </w:rPr>
        <w:t>“走出去”更好地利用国际资本市场提供了基础条件支持。基于我国企业会计</w:t>
      </w:r>
      <w:r>
        <w:rPr>
          <w:rFonts w:ascii="SimSun" w:hAnsi="SimSun" w:eastAsia="SimSun" w:cs="SimSun"/>
          <w:sz w:val="17"/>
          <w:szCs w:val="17"/>
          <w:color w:val="333333"/>
        </w:rPr>
        <w:t> </w:t>
      </w:r>
      <w:r>
        <w:rPr>
          <w:rFonts w:ascii="SimSun" w:hAnsi="SimSun" w:eastAsia="SimSun" w:cs="SimSun"/>
          <w:sz w:val="17"/>
          <w:szCs w:val="17"/>
          <w:color w:val="333333"/>
          <w:spacing w:val="2"/>
        </w:rPr>
        <w:t>准则体系建设国际趋同的战略，应当持续关注国际财务报告准则的改革和变化，顺时应势，深度靠前参与国际财务报告准则的研究</w:t>
      </w:r>
      <w:r>
        <w:rPr>
          <w:rFonts w:ascii="SimSun" w:hAnsi="SimSun" w:eastAsia="SimSun" w:cs="SimSun"/>
          <w:sz w:val="17"/>
          <w:szCs w:val="17"/>
          <w:color w:val="333333"/>
          <w:spacing w:val="33"/>
          <w:w w:val="101"/>
        </w:rPr>
        <w:t> </w:t>
      </w:r>
      <w:r>
        <w:rPr>
          <w:rFonts w:ascii="SimSun" w:hAnsi="SimSun" w:eastAsia="SimSun" w:cs="SimSun"/>
          <w:sz w:val="17"/>
          <w:szCs w:val="17"/>
          <w:color w:val="333333"/>
          <w:spacing w:val="1"/>
        </w:rPr>
        <w:t>制定，积极借鉴国际财务报告准则的成果，结合我国国情和企业实务发展实际需求，持续修订和完善我国企业会计准则体系。</w:t>
      </w:r>
    </w:p>
    <w:p>
      <w:pPr>
        <w:ind w:firstLine="1394"/>
        <w:spacing w:before="108" w:line="187" w:lineRule="auto"/>
        <w:rPr>
          <w:rFonts w:ascii="SimSun" w:hAnsi="SimSun" w:eastAsia="SimSun" w:cs="SimSun"/>
          <w:sz w:val="17"/>
          <w:szCs w:val="17"/>
        </w:rPr>
      </w:pPr>
      <w:r>
        <w:rPr>
          <w:rFonts w:ascii="SimSun" w:hAnsi="SimSun" w:eastAsia="SimSun" w:cs="SimSun"/>
          <w:sz w:val="17"/>
          <w:szCs w:val="17"/>
          <w:color w:val="333333"/>
          <w:spacing w:val="1"/>
        </w:rPr>
        <w:t>（五）服务构建会计改革与发展新格局，需要企业会计准则体系提供有力支撑。</w:t>
      </w:r>
    </w:p>
    <w:p>
      <w:pPr>
        <w:spacing w:line="253" w:lineRule="auto"/>
        <w:rPr>
          <w:rFonts w:ascii="SimSun"/>
          <w:sz w:val="21"/>
        </w:rPr>
      </w:pPr>
      <w:r/>
    </w:p>
    <w:p>
      <w:pPr>
        <w:spacing w:line="253" w:lineRule="auto"/>
        <w:rPr>
          <w:rFonts w:ascii="SimSun"/>
          <w:sz w:val="21"/>
        </w:rPr>
      </w:pPr>
      <w:r/>
    </w:p>
    <w:p>
      <w:pPr>
        <w:ind w:firstLine="539"/>
        <w:spacing w:before="47" w:line="218" w:lineRule="exact"/>
        <w:rPr>
          <w:rFonts w:ascii="Arial" w:hAnsi="Arial" w:eastAsia="Arial" w:cs="Arial"/>
          <w:sz w:val="16"/>
          <w:szCs w:val="16"/>
        </w:rPr>
      </w:pPr>
      <w:r>
        <w:rPr>
          <w:rFonts w:ascii="Arial" w:hAnsi="Arial" w:eastAsia="Arial" w:cs="Arial"/>
          <w:sz w:val="16"/>
          <w:szCs w:val="16"/>
          <w:spacing w:val="-1"/>
        </w:rPr>
        <w:t>kjs.mof.gov.cn/zhengcejiedu/202201/t20220117_3782893.htm</w:t>
      </w:r>
      <w:r>
        <w:rPr>
          <w:rFonts w:ascii="Arial" w:hAnsi="Arial" w:eastAsia="Arial" w:cs="Arial"/>
          <w:sz w:val="16"/>
          <w:szCs w:val="16"/>
        </w:rPr>
        <w:t>                                                                                                                                            </w:t>
      </w:r>
      <w:r>
        <w:rPr>
          <w:rFonts w:ascii="Arial" w:hAnsi="Arial" w:eastAsia="Arial" w:cs="Arial"/>
          <w:sz w:val="16"/>
          <w:szCs w:val="16"/>
          <w:spacing w:val="-1"/>
        </w:rPr>
        <w:t>2/5</w:t>
      </w:r>
    </w:p>
    <w:p>
      <w:pPr>
        <w:sectPr>
          <w:pgSz w:w="11900" w:h="16839"/>
          <w:pgMar w:top="0" w:right="0" w:bottom="0" w:left="0" w:header="0" w:footer="0" w:gutter="0"/>
        </w:sectPr>
        <w:rPr/>
      </w:pPr>
    </w:p>
    <w:p>
      <w:pPr>
        <w:ind w:firstLine="533"/>
        <w:spacing w:before="293" w:line="191" w:lineRule="auto"/>
        <w:rPr>
          <w:rFonts w:ascii="Microsoft YaHei" w:hAnsi="Microsoft YaHei" w:eastAsia="Microsoft YaHei" w:cs="Microsoft YaHei"/>
          <w:sz w:val="16"/>
          <w:szCs w:val="16"/>
        </w:rPr>
      </w:pPr>
      <w:r>
        <w:rPr>
          <w:rFonts w:ascii="Arial" w:hAnsi="Arial" w:eastAsia="Arial" w:cs="Arial"/>
          <w:sz w:val="16"/>
          <w:szCs w:val="16"/>
          <w:spacing w:val="-1"/>
          <w:position w:val="1"/>
        </w:rPr>
        <w:t>2022/4/27</w:t>
      </w:r>
      <w:r>
        <w:rPr>
          <w:rFonts w:ascii="Arial" w:hAnsi="Arial" w:eastAsia="Arial" w:cs="Arial"/>
          <w:sz w:val="16"/>
          <w:szCs w:val="16"/>
          <w:spacing w:val="2"/>
          <w:position w:val="1"/>
        </w:rPr>
        <w:t>                 </w:t>
      </w:r>
      <w:r>
        <w:rPr>
          <w:rFonts w:ascii="Microsoft YaHei" w:hAnsi="Microsoft YaHei" w:eastAsia="Microsoft YaHei" w:cs="Microsoft YaHei"/>
          <w:sz w:val="16"/>
          <w:szCs w:val="16"/>
          <w:spacing w:val="-1"/>
        </w:rPr>
        <w:t>推动改革创新</w:t>
      </w:r>
      <w:r>
        <w:rPr>
          <w:rFonts w:ascii="Microsoft YaHei" w:hAnsi="Microsoft YaHei" w:eastAsia="Microsoft YaHei" w:cs="Microsoft YaHei"/>
          <w:sz w:val="16"/>
          <w:szCs w:val="16"/>
        </w:rPr>
        <w:t> </w:t>
      </w:r>
      <w:r>
        <w:rPr>
          <w:rFonts w:ascii="Microsoft YaHei" w:hAnsi="Microsoft YaHei" w:eastAsia="Microsoft YaHei" w:cs="Microsoft YaHei"/>
          <w:sz w:val="16"/>
          <w:szCs w:val="16"/>
          <w:spacing w:val="-1"/>
        </w:rPr>
        <w:t>提高服务效能</w:t>
      </w:r>
      <w:r>
        <w:rPr>
          <w:rFonts w:ascii="Microsoft YaHei" w:hAnsi="Microsoft YaHei" w:eastAsia="Microsoft YaHei" w:cs="Microsoft YaHei"/>
          <w:sz w:val="16"/>
          <w:szCs w:val="16"/>
        </w:rPr>
        <w:t> </w:t>
      </w:r>
      <w:r>
        <w:rPr>
          <w:rFonts w:ascii="Microsoft YaHei" w:hAnsi="Microsoft YaHei" w:eastAsia="Microsoft YaHei" w:cs="Microsoft YaHei"/>
          <w:sz w:val="16"/>
          <w:szCs w:val="16"/>
          <w:spacing w:val="-1"/>
        </w:rPr>
        <w:t>实现企业会计准则体系建设与实施高质量发展</w:t>
      </w:r>
      <w:r>
        <w:rPr>
          <w:rFonts w:ascii="Arial" w:hAnsi="Arial" w:eastAsia="Arial" w:cs="Arial"/>
          <w:sz w:val="16"/>
          <w:szCs w:val="16"/>
          <w:spacing w:val="-1"/>
        </w:rPr>
        <w:t>——</w:t>
      </w:r>
      <w:r>
        <w:rPr>
          <w:rFonts w:ascii="Arial" w:hAnsi="Arial" w:eastAsia="Arial" w:cs="Arial"/>
          <w:sz w:val="16"/>
          <w:szCs w:val="16"/>
          <w:spacing w:val="34"/>
        </w:rPr>
        <w:t> </w:t>
      </w:r>
      <w:r>
        <w:rPr>
          <w:rFonts w:ascii="Microsoft YaHei" w:hAnsi="Microsoft YaHei" w:eastAsia="Microsoft YaHei" w:cs="Microsoft YaHei"/>
          <w:sz w:val="16"/>
          <w:szCs w:val="16"/>
          <w:spacing w:val="-1"/>
        </w:rPr>
        <w:t>《会计改革与发展</w:t>
      </w:r>
      <w:r>
        <w:rPr>
          <w:rFonts w:ascii="Arial" w:hAnsi="Arial" w:eastAsia="Arial" w:cs="Arial"/>
          <w:sz w:val="16"/>
          <w:szCs w:val="16"/>
          <w:spacing w:val="-1"/>
        </w:rPr>
        <w:t>“</w:t>
      </w:r>
      <w:r>
        <w:rPr>
          <w:rFonts w:ascii="Microsoft YaHei" w:hAnsi="Microsoft YaHei" w:eastAsia="Microsoft YaHei" w:cs="Microsoft YaHei"/>
          <w:sz w:val="16"/>
          <w:szCs w:val="16"/>
          <w:spacing w:val="-1"/>
        </w:rPr>
        <w:t>十四五</w:t>
      </w:r>
      <w:r>
        <w:rPr>
          <w:rFonts w:ascii="Arial" w:hAnsi="Arial" w:eastAsia="Arial" w:cs="Arial"/>
          <w:sz w:val="16"/>
          <w:szCs w:val="16"/>
          <w:spacing w:val="-1"/>
        </w:rPr>
        <w:t>”</w:t>
      </w:r>
      <w:r>
        <w:rPr>
          <w:rFonts w:ascii="Microsoft YaHei" w:hAnsi="Microsoft YaHei" w:eastAsia="Microsoft YaHei" w:cs="Microsoft YaHei"/>
          <w:sz w:val="16"/>
          <w:szCs w:val="16"/>
          <w:spacing w:val="-1"/>
        </w:rPr>
        <w:t>规划纲要》系列解读之三</w:t>
      </w:r>
    </w:p>
    <w:p>
      <w:pPr>
        <w:ind w:left="1043" w:right="1016" w:firstLine="345"/>
        <w:spacing w:before="136" w:line="327" w:lineRule="auto"/>
        <w:rPr>
          <w:rFonts w:ascii="SimSun" w:hAnsi="SimSun" w:eastAsia="SimSun" w:cs="SimSun"/>
          <w:sz w:val="17"/>
          <w:szCs w:val="17"/>
        </w:rPr>
      </w:pPr>
      <w:r>
        <w:rPr>
          <w:rFonts w:ascii="SimSun" w:hAnsi="SimSun" w:eastAsia="SimSun" w:cs="SimSun"/>
          <w:sz w:val="17"/>
          <w:szCs w:val="17"/>
          <w:color w:val="333333"/>
          <w:spacing w:val="2"/>
        </w:rPr>
        <w:t>会计信息在经济发展、营商环境优化和宏观经济决策方面发挥着越来越重要的作用。会计基础性服务功能得到充分有效发挥，</w:t>
      </w:r>
      <w:r>
        <w:rPr>
          <w:rFonts w:ascii="SimSun" w:hAnsi="SimSun" w:eastAsia="SimSun" w:cs="SimSun"/>
          <w:sz w:val="17"/>
          <w:szCs w:val="17"/>
          <w:color w:val="333333"/>
          <w:spacing w:val="33"/>
          <w:w w:val="101"/>
        </w:rPr>
        <w:t> </w:t>
      </w:r>
      <w:r>
        <w:rPr>
          <w:rFonts w:ascii="SimSun" w:hAnsi="SimSun" w:eastAsia="SimSun" w:cs="SimSun"/>
          <w:sz w:val="17"/>
          <w:szCs w:val="17"/>
          <w:color w:val="333333"/>
          <w:spacing w:val="2"/>
        </w:rPr>
        <w:t>实现会计行业更好服务我国经济社会发展大局和财政工作全局，离不开企业会计准则体系的高质量建设和有效实施。这客观上要求</w:t>
      </w:r>
      <w:r>
        <w:rPr>
          <w:rFonts w:ascii="SimSun" w:hAnsi="SimSun" w:eastAsia="SimSun" w:cs="SimSun"/>
          <w:sz w:val="17"/>
          <w:szCs w:val="17"/>
          <w:color w:val="333333"/>
          <w:spacing w:val="35"/>
        </w:rPr>
        <w:t> </w:t>
      </w:r>
      <w:r>
        <w:rPr>
          <w:rFonts w:ascii="SimSun" w:hAnsi="SimSun" w:eastAsia="SimSun" w:cs="SimSun"/>
          <w:sz w:val="17"/>
          <w:szCs w:val="17"/>
          <w:color w:val="333333"/>
          <w:spacing w:val="2"/>
        </w:rPr>
        <w:t>我们从会计行业当前和未来一段时间整体发展方向考虑，不断完善企业会计准则体系，推动企业会计准则体系有效实施，提高企业</w:t>
      </w:r>
      <w:r>
        <w:rPr>
          <w:rFonts w:ascii="SimSun" w:hAnsi="SimSun" w:eastAsia="SimSun" w:cs="SimSun"/>
          <w:sz w:val="17"/>
          <w:szCs w:val="17"/>
          <w:color w:val="333333"/>
          <w:spacing w:val="35"/>
        </w:rPr>
        <w:t> </w:t>
      </w:r>
      <w:r>
        <w:rPr>
          <w:rFonts w:ascii="SimSun" w:hAnsi="SimSun" w:eastAsia="SimSun" w:cs="SimSun"/>
          <w:sz w:val="17"/>
          <w:szCs w:val="17"/>
          <w:color w:val="333333"/>
          <w:spacing w:val="1"/>
        </w:rPr>
        <w:t>会计信息质量，为构建新时代我国会计改革与发展新格局提供有力支撑。</w:t>
      </w:r>
    </w:p>
    <w:p>
      <w:pPr>
        <w:ind w:firstLine="1388"/>
        <w:spacing w:before="107" w:line="187" w:lineRule="auto"/>
        <w:rPr>
          <w:rFonts w:ascii="SimSun" w:hAnsi="SimSun" w:eastAsia="SimSun" w:cs="SimSun"/>
          <w:sz w:val="17"/>
          <w:szCs w:val="17"/>
        </w:rPr>
      </w:pPr>
      <w:r>
        <w:rPr>
          <w:rFonts w:ascii="SimSun" w:hAnsi="SimSun" w:eastAsia="SimSun" w:cs="SimSun"/>
          <w:sz w:val="17"/>
          <w:szCs w:val="17"/>
          <w:color w:val="333333"/>
          <w:spacing w:val="11"/>
        </w:rPr>
        <w:t>三、</w:t>
      </w:r>
      <w:r>
        <w:rPr>
          <w:rFonts w:ascii="SimSun" w:hAnsi="SimSun" w:eastAsia="SimSun" w:cs="SimSun"/>
          <w:sz w:val="17"/>
          <w:szCs w:val="17"/>
          <w:color w:val="333333"/>
          <w:spacing w:val="-42"/>
        </w:rPr>
        <w:t> </w:t>
      </w:r>
      <w:r>
        <w:rPr>
          <w:rFonts w:ascii="SimSun" w:hAnsi="SimSun" w:eastAsia="SimSun" w:cs="SimSun"/>
          <w:sz w:val="17"/>
          <w:szCs w:val="17"/>
          <w:color w:val="333333"/>
          <w:spacing w:val="11"/>
        </w:rPr>
        <w:t>“十四五”时期企业会计准则体系建设与实施的工作重点和具体举措</w:t>
      </w:r>
    </w:p>
    <w:p>
      <w:pPr>
        <w:ind w:left="1043" w:right="1016" w:firstLine="347"/>
        <w:spacing w:before="237" w:line="327" w:lineRule="auto"/>
        <w:rPr>
          <w:rFonts w:ascii="SimSun" w:hAnsi="SimSun" w:eastAsia="SimSun" w:cs="SimSun"/>
          <w:sz w:val="17"/>
          <w:szCs w:val="17"/>
        </w:rPr>
      </w:pPr>
      <w:r>
        <w:rPr>
          <w:rFonts w:ascii="SimSun" w:hAnsi="SimSun" w:eastAsia="SimSun" w:cs="SimSun"/>
          <w:sz w:val="17"/>
          <w:szCs w:val="17"/>
          <w:color w:val="333333"/>
        </w:rPr>
        <w:t>《会计改革与发展“十四五”规划纲要》</w:t>
      </w:r>
      <w:r>
        <w:rPr>
          <w:rFonts w:ascii="SimSun" w:hAnsi="SimSun" w:eastAsia="SimSun" w:cs="SimSun"/>
          <w:sz w:val="17"/>
          <w:szCs w:val="17"/>
          <w:color w:val="333333"/>
          <w:spacing w:val="56"/>
        </w:rPr>
        <w:t> </w:t>
      </w:r>
      <w:r>
        <w:rPr>
          <w:rFonts w:ascii="SimSun" w:hAnsi="SimSun" w:eastAsia="SimSun" w:cs="SimSun"/>
          <w:sz w:val="17"/>
          <w:szCs w:val="17"/>
          <w:color w:val="333333"/>
        </w:rPr>
        <w:t>明确提出了“持续完善企业会计准则体系的建设与实施”的具体任务，并分别从企业</w:t>
      </w:r>
      <w:r>
        <w:rPr>
          <w:rFonts w:ascii="SimSun" w:hAnsi="SimSun" w:eastAsia="SimSun" w:cs="SimSun"/>
          <w:sz w:val="17"/>
          <w:szCs w:val="17"/>
          <w:color w:val="333333"/>
        </w:rPr>
        <w:t> </w:t>
      </w:r>
      <w:r>
        <w:rPr>
          <w:rFonts w:ascii="SimSun" w:hAnsi="SimSun" w:eastAsia="SimSun" w:cs="SimSun"/>
          <w:sz w:val="17"/>
          <w:szCs w:val="17"/>
          <w:color w:val="333333"/>
          <w:spacing w:val="2"/>
        </w:rPr>
        <w:t>会计准则体系建设和实施两个方面提出10项具体举措，是指导我们做好“十四五”时期企业会计准则体系建设和实施的重要依据和</w:t>
      </w:r>
      <w:r>
        <w:rPr>
          <w:rFonts w:ascii="SimSun" w:hAnsi="SimSun" w:eastAsia="SimSun" w:cs="SimSun"/>
          <w:sz w:val="17"/>
          <w:szCs w:val="17"/>
          <w:color w:val="333333"/>
          <w:spacing w:val="33"/>
        </w:rPr>
        <w:t> </w:t>
      </w:r>
      <w:r>
        <w:rPr>
          <w:rFonts w:ascii="SimSun" w:hAnsi="SimSun" w:eastAsia="SimSun" w:cs="SimSun"/>
          <w:sz w:val="17"/>
          <w:szCs w:val="17"/>
          <w:color w:val="333333"/>
        </w:rPr>
        <w:t>行动指南，必须认真对照、全面贯彻、统筹推进、抓实抓好。</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rPr>
        <w:t>（一）持续推动企业会计准则体系高质量建设。</w:t>
      </w:r>
    </w:p>
    <w:p>
      <w:pPr>
        <w:ind w:left="1043" w:right="1016" w:firstLine="358"/>
        <w:spacing w:before="237" w:line="327" w:lineRule="auto"/>
        <w:rPr>
          <w:rFonts w:ascii="SimSun" w:hAnsi="SimSun" w:eastAsia="SimSun" w:cs="SimSun"/>
          <w:sz w:val="17"/>
          <w:szCs w:val="17"/>
        </w:rPr>
      </w:pPr>
      <w:r>
        <w:rPr>
          <w:rFonts w:ascii="SimSun" w:hAnsi="SimSun" w:eastAsia="SimSun" w:cs="SimSun"/>
          <w:sz w:val="17"/>
          <w:szCs w:val="17"/>
          <w:color w:val="333333"/>
          <w:spacing w:val="2"/>
        </w:rPr>
        <w:t>1.全面梳理并修订我国企业会计准则体系，明晰体系内各层级准则制度的框架和内容。企业会计准则体系是企业会计准则建设</w:t>
      </w:r>
      <w:r>
        <w:rPr>
          <w:rFonts w:ascii="SimSun" w:hAnsi="SimSun" w:eastAsia="SimSun" w:cs="SimSun"/>
          <w:sz w:val="17"/>
          <w:szCs w:val="17"/>
          <w:color w:val="333333"/>
          <w:spacing w:val="18"/>
        </w:rPr>
        <w:t> </w:t>
      </w:r>
      <w:r>
        <w:rPr>
          <w:rFonts w:ascii="SimSun" w:hAnsi="SimSun" w:eastAsia="SimSun" w:cs="SimSun"/>
          <w:sz w:val="17"/>
          <w:szCs w:val="17"/>
          <w:color w:val="333333"/>
          <w:spacing w:val="3"/>
        </w:rPr>
        <w:t>和实施的纲领性、框架性结构，对于企业会计准则建设和实施具有顶层设计、统驭全局的作用。2006年以来，我国陆续发布了1项</w:t>
      </w:r>
      <w:r>
        <w:rPr>
          <w:rFonts w:ascii="SimSun" w:hAnsi="SimSun" w:eastAsia="SimSun" w:cs="SimSun"/>
          <w:sz w:val="17"/>
          <w:szCs w:val="17"/>
          <w:color w:val="333333"/>
          <w:spacing w:val="57"/>
        </w:rPr>
        <w:t> </w:t>
      </w:r>
      <w:r>
        <w:rPr>
          <w:rFonts w:ascii="SimSun" w:hAnsi="SimSun" w:eastAsia="SimSun" w:cs="SimSun"/>
          <w:sz w:val="17"/>
          <w:szCs w:val="17"/>
          <w:color w:val="333333"/>
          <w:spacing w:val="2"/>
        </w:rPr>
        <w:t>基本准则、42项具体准则、14项准则解释，以及具体准则的应用指南、会计处理规定、有关准则实施的贯彻落实通知等。通过系统</w:t>
      </w:r>
      <w:r>
        <w:rPr>
          <w:rFonts w:ascii="SimSun" w:hAnsi="SimSun" w:eastAsia="SimSun" w:cs="SimSun"/>
          <w:sz w:val="17"/>
          <w:szCs w:val="17"/>
          <w:color w:val="333333"/>
          <w:spacing w:val="31"/>
        </w:rPr>
        <w:t> </w:t>
      </w:r>
      <w:r>
        <w:rPr>
          <w:rFonts w:ascii="SimSun" w:hAnsi="SimSun" w:eastAsia="SimSun" w:cs="SimSun"/>
          <w:sz w:val="17"/>
          <w:szCs w:val="17"/>
          <w:color w:val="333333"/>
          <w:spacing w:val="5"/>
        </w:rPr>
        <w:t>梳理、修订完善企业会计准则体系，明确各层级准则制度的文件类型、规范内容、体例规则等，进一步明晰各层级准则制度的边</w:t>
      </w:r>
      <w:r>
        <w:rPr>
          <w:rFonts w:ascii="SimSun" w:hAnsi="SimSun" w:eastAsia="SimSun" w:cs="SimSun"/>
          <w:sz w:val="17"/>
          <w:szCs w:val="17"/>
          <w:color w:val="333333"/>
          <w:spacing w:val="39"/>
        </w:rPr>
        <w:t> </w:t>
      </w:r>
      <w:r>
        <w:rPr>
          <w:rFonts w:ascii="SimSun" w:hAnsi="SimSun" w:eastAsia="SimSun" w:cs="SimSun"/>
          <w:sz w:val="17"/>
          <w:szCs w:val="17"/>
          <w:color w:val="333333"/>
          <w:spacing w:val="1"/>
        </w:rPr>
        <w:t>界，以更好指导企业会计准则制度建设规范化发展，切实维护准则体系的权威性。</w:t>
      </w:r>
    </w:p>
    <w:p>
      <w:pPr>
        <w:ind w:left="1043" w:right="1016" w:firstLine="348"/>
        <w:spacing w:before="108" w:line="327" w:lineRule="auto"/>
        <w:rPr>
          <w:rFonts w:ascii="SimSun" w:hAnsi="SimSun" w:eastAsia="SimSun" w:cs="SimSun"/>
          <w:sz w:val="17"/>
          <w:szCs w:val="17"/>
        </w:rPr>
      </w:pPr>
      <w:r>
        <w:rPr>
          <w:rFonts w:ascii="SimSun" w:hAnsi="SimSun" w:eastAsia="SimSun" w:cs="SimSun"/>
          <w:sz w:val="17"/>
          <w:szCs w:val="17"/>
          <w:color w:val="333333"/>
          <w:spacing w:val="2"/>
        </w:rPr>
        <w:t>2.加强企业会计准则前瞻性研究，主动应对新经济、新业态、新模式的影响，积极谋划会计准则未来发展方向。随着我国经济</w:t>
      </w:r>
      <w:r>
        <w:rPr>
          <w:rFonts w:ascii="SimSun" w:hAnsi="SimSun" w:eastAsia="SimSun" w:cs="SimSun"/>
          <w:sz w:val="17"/>
          <w:szCs w:val="17"/>
          <w:color w:val="333333"/>
          <w:spacing w:val="29"/>
        </w:rPr>
        <w:t> </w:t>
      </w:r>
      <w:r>
        <w:rPr>
          <w:rFonts w:ascii="SimSun" w:hAnsi="SimSun" w:eastAsia="SimSun" w:cs="SimSun"/>
          <w:sz w:val="17"/>
          <w:szCs w:val="17"/>
          <w:color w:val="333333"/>
          <w:spacing w:val="2"/>
        </w:rPr>
        <w:t>社会的快速发展，创新驱动战略的深入推进，传统制造业经济正与大数据、人工智能、移动互联网、云计算等新经济新技术深度融</w:t>
      </w:r>
      <w:r>
        <w:rPr>
          <w:rFonts w:ascii="SimSun" w:hAnsi="SimSun" w:eastAsia="SimSun" w:cs="SimSun"/>
          <w:sz w:val="17"/>
          <w:szCs w:val="17"/>
          <w:color w:val="333333"/>
          <w:spacing w:val="35"/>
        </w:rPr>
        <w:t> </w:t>
      </w:r>
      <w:r>
        <w:rPr>
          <w:rFonts w:ascii="SimSun" w:hAnsi="SimSun" w:eastAsia="SimSun" w:cs="SimSun"/>
          <w:sz w:val="17"/>
          <w:szCs w:val="17"/>
          <w:color w:val="333333"/>
          <w:spacing w:val="2"/>
        </w:rPr>
        <w:t>合，新的商业模式层出不穷，这对传统的会计核算产生了挑战。为了更好的反映这些新经济、新业态、新模式，需要主动加强企业</w:t>
      </w:r>
      <w:r>
        <w:rPr>
          <w:rFonts w:ascii="SimSun" w:hAnsi="SimSun" w:eastAsia="SimSun" w:cs="SimSun"/>
          <w:sz w:val="17"/>
          <w:szCs w:val="17"/>
          <w:color w:val="333333"/>
          <w:spacing w:val="35"/>
        </w:rPr>
        <w:t> </w:t>
      </w:r>
      <w:r>
        <w:rPr>
          <w:rFonts w:ascii="SimSun" w:hAnsi="SimSun" w:eastAsia="SimSun" w:cs="SimSun"/>
          <w:sz w:val="17"/>
          <w:szCs w:val="17"/>
          <w:color w:val="333333"/>
          <w:spacing w:val="2"/>
        </w:rPr>
        <w:t>会计准则的前瞻性研究，紧跟时代发展趋势，密切跟踪当前经济社会中的热点问题，如数据资产等，形成有价值的研究成果，为会</w:t>
      </w:r>
      <w:r>
        <w:rPr>
          <w:rFonts w:ascii="SimSun" w:hAnsi="SimSun" w:eastAsia="SimSun" w:cs="SimSun"/>
          <w:sz w:val="17"/>
          <w:szCs w:val="17"/>
          <w:color w:val="333333"/>
          <w:spacing w:val="35"/>
        </w:rPr>
        <w:t> </w:t>
      </w:r>
      <w:r>
        <w:rPr>
          <w:rFonts w:ascii="SimSun" w:hAnsi="SimSun" w:eastAsia="SimSun" w:cs="SimSun"/>
          <w:sz w:val="17"/>
          <w:szCs w:val="17"/>
          <w:color w:val="333333"/>
          <w:spacing w:val="1"/>
        </w:rPr>
        <w:t>计改革及相关政策制定提供有力支撑，从而不断完善企业会计准则体系，为核算新的商业模式等提供标尺。</w:t>
      </w:r>
    </w:p>
    <w:p>
      <w:pPr>
        <w:ind w:firstLine="1392"/>
        <w:spacing w:before="108" w:line="187" w:lineRule="auto"/>
        <w:rPr>
          <w:rFonts w:ascii="SimSun" w:hAnsi="SimSun" w:eastAsia="SimSun" w:cs="SimSun"/>
          <w:sz w:val="17"/>
          <w:szCs w:val="17"/>
        </w:rPr>
      </w:pPr>
      <w:r>
        <w:rPr>
          <w:rFonts w:ascii="SimSun" w:hAnsi="SimSun" w:eastAsia="SimSun" w:cs="SimSun"/>
          <w:sz w:val="17"/>
          <w:szCs w:val="17"/>
          <w:color w:val="333333"/>
          <w:spacing w:val="2"/>
        </w:rPr>
        <w:t>3.紧密跟踪国际财务报告准则项目进展和国内实务发展，找准企业会计准则国际趋同和解决我国实际问题之间的平衡点和结合</w:t>
      </w:r>
    </w:p>
    <w:p>
      <w:pPr>
        <w:ind w:left="1044" w:right="1016" w:firstLine="8"/>
        <w:spacing w:before="130" w:line="327" w:lineRule="auto"/>
        <w:rPr>
          <w:rFonts w:ascii="SimSun" w:hAnsi="SimSun" w:eastAsia="SimSun" w:cs="SimSun"/>
          <w:sz w:val="17"/>
          <w:szCs w:val="17"/>
        </w:rPr>
      </w:pPr>
      <w:r>
        <w:rPr>
          <w:rFonts w:ascii="SimSun" w:hAnsi="SimSun" w:eastAsia="SimSun" w:cs="SimSun"/>
          <w:sz w:val="17"/>
          <w:szCs w:val="17"/>
          <w:color w:val="333333"/>
          <w:spacing w:val="2"/>
        </w:rPr>
        <w:t>点，更好地促进我国企业创新和经济高质量发展。要密切跟踪研究国际财务报告准则的最新发展，在重要准则项目和重大技术问题</w:t>
      </w:r>
      <w:r>
        <w:rPr>
          <w:rFonts w:ascii="SimSun" w:hAnsi="SimSun" w:eastAsia="SimSun" w:cs="SimSun"/>
          <w:sz w:val="17"/>
          <w:szCs w:val="17"/>
          <w:color w:val="333333"/>
          <w:spacing w:val="25"/>
          <w:w w:val="101"/>
        </w:rPr>
        <w:t> </w:t>
      </w:r>
      <w:r>
        <w:rPr>
          <w:rFonts w:ascii="SimSun" w:hAnsi="SimSun" w:eastAsia="SimSun" w:cs="SimSun"/>
          <w:sz w:val="17"/>
          <w:szCs w:val="17"/>
          <w:color w:val="333333"/>
          <w:spacing w:val="2"/>
        </w:rPr>
        <w:t>上积极表达我国的观点和关切，讲好中国会计故事，发出中国会计声音，主动引领国际财务报告准则的发展方向。立足我国实际、</w:t>
      </w:r>
      <w:r>
        <w:rPr>
          <w:rFonts w:ascii="SimSun" w:hAnsi="SimSun" w:eastAsia="SimSun" w:cs="SimSun"/>
          <w:sz w:val="17"/>
          <w:szCs w:val="17"/>
          <w:color w:val="333333"/>
          <w:spacing w:val="34"/>
        </w:rPr>
        <w:t> </w:t>
      </w:r>
      <w:r>
        <w:rPr>
          <w:rFonts w:ascii="SimSun" w:hAnsi="SimSun" w:eastAsia="SimSun" w:cs="SimSun"/>
          <w:sz w:val="17"/>
          <w:szCs w:val="17"/>
          <w:color w:val="333333"/>
          <w:spacing w:val="2"/>
        </w:rPr>
        <w:t>满足中国社会经济发展的需要，是我国企业会计准则建设的根本宗旨。要以切实解决我国会计实务问题为主导，坚持“趋同不是简</w:t>
      </w:r>
      <w:r>
        <w:rPr>
          <w:rFonts w:ascii="SimSun" w:hAnsi="SimSun" w:eastAsia="SimSun" w:cs="SimSun"/>
          <w:sz w:val="17"/>
          <w:szCs w:val="17"/>
          <w:color w:val="333333"/>
          <w:spacing w:val="34"/>
        </w:rPr>
        <w:t> </w:t>
      </w:r>
      <w:r>
        <w:rPr>
          <w:rFonts w:ascii="SimSun" w:hAnsi="SimSun" w:eastAsia="SimSun" w:cs="SimSun"/>
          <w:sz w:val="17"/>
          <w:szCs w:val="17"/>
          <w:color w:val="333333"/>
          <w:spacing w:val="2"/>
        </w:rPr>
        <w:t>单地等同”和“趋同是一种互动”等重要原则，在趋同过程中切实维护国家利益，有效评估国际财务报告准则在我国具体实务中的</w:t>
      </w:r>
      <w:r>
        <w:rPr>
          <w:rFonts w:ascii="SimSun" w:hAnsi="SimSun" w:eastAsia="SimSun" w:cs="SimSun"/>
          <w:sz w:val="17"/>
          <w:szCs w:val="17"/>
          <w:color w:val="333333"/>
          <w:spacing w:val="34"/>
        </w:rPr>
        <w:t> </w:t>
      </w:r>
      <w:r>
        <w:rPr>
          <w:rFonts w:ascii="SimSun" w:hAnsi="SimSun" w:eastAsia="SimSun" w:cs="SimSun"/>
          <w:sz w:val="17"/>
          <w:szCs w:val="17"/>
          <w:color w:val="333333"/>
          <w:spacing w:val="1"/>
        </w:rPr>
        <w:t>适用性，及时有效地解决我国会计实务问题和有关诉求，不断完善企业会计准则建设质量，更好服务我国经济高质量发展。</w:t>
      </w:r>
    </w:p>
    <w:p>
      <w:pPr>
        <w:ind w:left="1042" w:right="1016" w:firstLine="346"/>
        <w:spacing w:before="109" w:line="327" w:lineRule="auto"/>
        <w:rPr>
          <w:rFonts w:ascii="SimSun" w:hAnsi="SimSun" w:eastAsia="SimSun" w:cs="SimSun"/>
          <w:sz w:val="17"/>
          <w:szCs w:val="17"/>
        </w:rPr>
      </w:pPr>
      <w:r>
        <w:rPr>
          <w:rFonts w:ascii="SimSun" w:hAnsi="SimSun" w:eastAsia="SimSun" w:cs="SimSun"/>
          <w:sz w:val="17"/>
          <w:szCs w:val="17"/>
          <w:color w:val="333333"/>
          <w:spacing w:val="2"/>
        </w:rPr>
        <w:t>4.根据国内实务发展和国际趋同需要，定期更新准则汇编、应用指南汇编，研究制定企业会计准则解释，研究修订会计科目和</w:t>
      </w:r>
      <w:r>
        <w:rPr>
          <w:rFonts w:ascii="SimSun" w:hAnsi="SimSun" w:eastAsia="SimSun" w:cs="SimSun"/>
          <w:sz w:val="17"/>
          <w:szCs w:val="17"/>
          <w:color w:val="333333"/>
          <w:spacing w:val="31"/>
          <w:w w:val="101"/>
        </w:rPr>
        <w:t> </w:t>
      </w:r>
      <w:r>
        <w:rPr>
          <w:rFonts w:ascii="SimSun" w:hAnsi="SimSun" w:eastAsia="SimSun" w:cs="SimSun"/>
          <w:sz w:val="17"/>
          <w:szCs w:val="17"/>
          <w:color w:val="333333"/>
          <w:spacing w:val="2"/>
        </w:rPr>
        <w:t>报表格式。制定高质量的企业会计准则、解释、应用指南、会计处理规定等是企业会计准则体系建设的首要任务。根据国际财务报</w:t>
      </w:r>
      <w:r>
        <w:rPr>
          <w:rFonts w:ascii="SimSun" w:hAnsi="SimSun" w:eastAsia="SimSun" w:cs="SimSun"/>
          <w:sz w:val="17"/>
          <w:szCs w:val="17"/>
          <w:color w:val="333333"/>
          <w:spacing w:val="36"/>
        </w:rPr>
        <w:t> </w:t>
      </w:r>
      <w:r>
        <w:rPr>
          <w:rFonts w:ascii="SimSun" w:hAnsi="SimSun" w:eastAsia="SimSun" w:cs="SimSun"/>
          <w:sz w:val="17"/>
          <w:szCs w:val="17"/>
          <w:color w:val="333333"/>
          <w:spacing w:val="2"/>
        </w:rPr>
        <w:t>告准则发展动向以及我国企业实务发展需要，修订完善企业会计准则及其应用指南，提高实务指导的针对性、可操作性。定期梳理</w:t>
      </w:r>
      <w:r>
        <w:rPr>
          <w:rFonts w:ascii="SimSun" w:hAnsi="SimSun" w:eastAsia="SimSun" w:cs="SimSun"/>
          <w:sz w:val="17"/>
          <w:szCs w:val="17"/>
          <w:color w:val="333333"/>
          <w:spacing w:val="36"/>
        </w:rPr>
        <w:t> </w:t>
      </w:r>
      <w:r>
        <w:rPr>
          <w:rFonts w:ascii="SimSun" w:hAnsi="SimSun" w:eastAsia="SimSun" w:cs="SimSun"/>
          <w:sz w:val="17"/>
          <w:szCs w:val="17"/>
          <w:color w:val="333333"/>
          <w:spacing w:val="2"/>
        </w:rPr>
        <w:t>更新后的准则、解释、会计处理规定、应用指南，形成准则汇编、应用指南汇编，为实务界提供更加及时、准确、权威、便捷的案</w:t>
      </w:r>
      <w:r>
        <w:rPr>
          <w:rFonts w:ascii="SimSun" w:hAnsi="SimSun" w:eastAsia="SimSun" w:cs="SimSun"/>
          <w:sz w:val="17"/>
          <w:szCs w:val="17"/>
          <w:color w:val="333333"/>
          <w:spacing w:val="36"/>
        </w:rPr>
        <w:t> </w:t>
      </w:r>
      <w:r>
        <w:rPr>
          <w:rFonts w:ascii="SimSun" w:hAnsi="SimSun" w:eastAsia="SimSun" w:cs="SimSun"/>
          <w:sz w:val="17"/>
          <w:szCs w:val="17"/>
          <w:color w:val="333333"/>
          <w:spacing w:val="2"/>
        </w:rPr>
        <w:t>头工具书，切实维护准则体系的权威性、准确性与实用性。根据国内实务需要，根据准则修订情况进一步研究修订会计科目，明确</w:t>
      </w:r>
      <w:r>
        <w:rPr>
          <w:rFonts w:ascii="SimSun" w:hAnsi="SimSun" w:eastAsia="SimSun" w:cs="SimSun"/>
          <w:sz w:val="17"/>
          <w:szCs w:val="17"/>
          <w:color w:val="333333"/>
          <w:spacing w:val="36"/>
        </w:rPr>
        <w:t> </w:t>
      </w:r>
      <w:r>
        <w:rPr>
          <w:rFonts w:ascii="SimSun" w:hAnsi="SimSun" w:eastAsia="SimSun" w:cs="SimSun"/>
          <w:sz w:val="17"/>
          <w:szCs w:val="17"/>
          <w:color w:val="333333"/>
        </w:rPr>
        <w:t>具体会计科目和主要账务处理要求，推动准则更准确落地实施；</w:t>
      </w:r>
      <w:r>
        <w:rPr>
          <w:rFonts w:ascii="SimSun" w:hAnsi="SimSun" w:eastAsia="SimSun" w:cs="SimSun"/>
          <w:sz w:val="17"/>
          <w:szCs w:val="17"/>
          <w:color w:val="333333"/>
          <w:spacing w:val="65"/>
        </w:rPr>
        <w:t> </w:t>
      </w:r>
      <w:r>
        <w:rPr>
          <w:rFonts w:ascii="SimSun" w:hAnsi="SimSun" w:eastAsia="SimSun" w:cs="SimSun"/>
          <w:sz w:val="17"/>
          <w:szCs w:val="17"/>
          <w:color w:val="333333"/>
        </w:rPr>
        <w:t>研究修订企业财务报表格式，统一企业对外提供财务报表的格式和</w:t>
      </w:r>
      <w:r>
        <w:rPr>
          <w:rFonts w:ascii="SimSun" w:hAnsi="SimSun" w:eastAsia="SimSun" w:cs="SimSun"/>
          <w:sz w:val="17"/>
          <w:szCs w:val="17"/>
          <w:color w:val="333333"/>
        </w:rPr>
        <w:t> </w:t>
      </w:r>
      <w:r>
        <w:rPr>
          <w:rFonts w:ascii="SimSun" w:hAnsi="SimSun" w:eastAsia="SimSun" w:cs="SimSun"/>
          <w:sz w:val="17"/>
          <w:szCs w:val="17"/>
          <w:color w:val="333333"/>
          <w:spacing w:val="1"/>
        </w:rPr>
        <w:t>内容标准，增强企业对外提供报表的约束刚性，提高会计信息的一致性、可比性。</w:t>
      </w:r>
    </w:p>
    <w:p>
      <w:pPr>
        <w:ind w:left="1045" w:right="1016" w:firstLine="347"/>
        <w:spacing w:before="108" w:line="327" w:lineRule="auto"/>
        <w:rPr>
          <w:rFonts w:ascii="SimSun" w:hAnsi="SimSun" w:eastAsia="SimSun" w:cs="SimSun"/>
          <w:sz w:val="17"/>
          <w:szCs w:val="17"/>
        </w:rPr>
      </w:pPr>
      <w:r>
        <w:rPr>
          <w:rFonts w:ascii="SimSun" w:hAnsi="SimSun" w:eastAsia="SimSun" w:cs="SimSun"/>
          <w:sz w:val="17"/>
          <w:szCs w:val="17"/>
          <w:color w:val="333333"/>
          <w:spacing w:val="2"/>
        </w:rPr>
        <w:t>5.整合社会多方力量参与企业会计准则制定的研究工作，加强企业会计准则与监管、税收等政策的协调，增强企业会计准则制</w:t>
      </w:r>
      <w:r>
        <w:rPr>
          <w:rFonts w:ascii="SimSun" w:hAnsi="SimSun" w:eastAsia="SimSun" w:cs="SimSun"/>
          <w:sz w:val="17"/>
          <w:szCs w:val="17"/>
          <w:color w:val="333333"/>
          <w:spacing w:val="27"/>
        </w:rPr>
        <w:t> </w:t>
      </w:r>
      <w:r>
        <w:rPr>
          <w:rFonts w:ascii="SimSun" w:hAnsi="SimSun" w:eastAsia="SimSun" w:cs="SimSun"/>
          <w:sz w:val="17"/>
          <w:szCs w:val="17"/>
          <w:color w:val="333333"/>
          <w:spacing w:val="2"/>
        </w:rPr>
        <w:t>定的针对性和适用性。坚持共商共建，分层协同发力，在准则制定起草过程中充分听取监管部门、行业协会以及报表编制者、使用</w:t>
      </w:r>
      <w:r>
        <w:rPr>
          <w:rFonts w:ascii="SimSun" w:hAnsi="SimSun" w:eastAsia="SimSun" w:cs="SimSun"/>
          <w:sz w:val="17"/>
          <w:szCs w:val="17"/>
          <w:color w:val="333333"/>
          <w:spacing w:val="33"/>
        </w:rPr>
        <w:t> </w:t>
      </w:r>
      <w:r>
        <w:rPr>
          <w:rFonts w:ascii="SimSun" w:hAnsi="SimSun" w:eastAsia="SimSun" w:cs="SimSun"/>
          <w:sz w:val="17"/>
          <w:szCs w:val="17"/>
          <w:color w:val="333333"/>
        </w:rPr>
        <w:t>者、会计师事务所等实务界各方意见，并加强准则与监管要求、实务做法的协调；</w:t>
      </w:r>
      <w:r>
        <w:rPr>
          <w:rFonts w:ascii="SimSun" w:hAnsi="SimSun" w:eastAsia="SimSun" w:cs="SimSun"/>
          <w:sz w:val="17"/>
          <w:szCs w:val="17"/>
          <w:color w:val="333333"/>
          <w:spacing w:val="62"/>
        </w:rPr>
        <w:t> </w:t>
      </w:r>
      <w:r>
        <w:rPr>
          <w:rFonts w:ascii="SimSun" w:hAnsi="SimSun" w:eastAsia="SimSun" w:cs="SimSun"/>
          <w:sz w:val="17"/>
          <w:szCs w:val="17"/>
          <w:color w:val="333333"/>
        </w:rPr>
        <w:t>从理论研究、技术分析、政策把控等不同层面，</w:t>
      </w:r>
      <w:r>
        <w:rPr>
          <w:rFonts w:ascii="SimSun" w:hAnsi="SimSun" w:eastAsia="SimSun" w:cs="SimSun"/>
          <w:sz w:val="17"/>
          <w:szCs w:val="17"/>
          <w:color w:val="333333"/>
        </w:rPr>
        <w:t> </w:t>
      </w:r>
      <w:r>
        <w:rPr>
          <w:rFonts w:ascii="SimSun" w:hAnsi="SimSun" w:eastAsia="SimSun" w:cs="SimSun"/>
          <w:sz w:val="17"/>
          <w:szCs w:val="17"/>
          <w:color w:val="333333"/>
          <w:spacing w:val="1"/>
        </w:rPr>
        <w:t>持续加强同学术界、实务界、监管部门、行业协会等的联系，分工协同、同向发力，促进各方关注和参与准则研究工作。</w:t>
      </w:r>
    </w:p>
    <w:p>
      <w:pPr>
        <w:ind w:left="1043" w:right="1016" w:firstLine="347"/>
        <w:spacing w:before="108" w:line="327" w:lineRule="auto"/>
        <w:rPr>
          <w:rFonts w:ascii="SimSun" w:hAnsi="SimSun" w:eastAsia="SimSun" w:cs="SimSun"/>
          <w:sz w:val="17"/>
          <w:szCs w:val="17"/>
        </w:rPr>
      </w:pPr>
      <w:r>
        <w:rPr>
          <w:rFonts w:ascii="SimSun" w:hAnsi="SimSun" w:eastAsia="SimSun" w:cs="SimSun"/>
          <w:sz w:val="17"/>
          <w:szCs w:val="17"/>
          <w:color w:val="333333"/>
          <w:spacing w:val="2"/>
        </w:rPr>
        <w:t>6.健全完善适用于中小型企业的会计准则体系。随着社会主义市场经济的发展以及企业会计准则体系的不断完善和国际趋同的</w:t>
      </w:r>
      <w:r>
        <w:rPr>
          <w:rFonts w:ascii="SimSun" w:hAnsi="SimSun" w:eastAsia="SimSun" w:cs="SimSun"/>
          <w:sz w:val="17"/>
          <w:szCs w:val="17"/>
          <w:color w:val="333333"/>
          <w:spacing w:val="29"/>
        </w:rPr>
        <w:t> </w:t>
      </w:r>
      <w:r>
        <w:rPr>
          <w:rFonts w:ascii="SimSun" w:hAnsi="SimSun" w:eastAsia="SimSun" w:cs="SimSun"/>
          <w:sz w:val="17"/>
          <w:szCs w:val="17"/>
          <w:color w:val="333333"/>
          <w:spacing w:val="1"/>
        </w:rPr>
        <w:t>稳步推进，我国越来越多的企业已经执行企业会计准则或者小企业会计准则。</w:t>
      </w:r>
      <w:r>
        <w:rPr>
          <w:rFonts w:ascii="SimSun" w:hAnsi="SimSun" w:eastAsia="SimSun" w:cs="SimSun"/>
          <w:sz w:val="17"/>
          <w:szCs w:val="17"/>
          <w:color w:val="333333"/>
          <w:spacing w:val="6"/>
        </w:rPr>
        <w:t> </w:t>
      </w:r>
      <w:r>
        <w:rPr>
          <w:rFonts w:ascii="SimSun" w:hAnsi="SimSun" w:eastAsia="SimSun" w:cs="SimSun"/>
          <w:sz w:val="17"/>
          <w:szCs w:val="17"/>
          <w:color w:val="333333"/>
          <w:spacing w:val="1"/>
        </w:rPr>
        <w:t>自上世纪90年代以来，我国企业会计准则与企业会计</w:t>
      </w:r>
      <w:r>
        <w:rPr>
          <w:rFonts w:ascii="SimSun" w:hAnsi="SimSun" w:eastAsia="SimSun" w:cs="SimSun"/>
          <w:sz w:val="17"/>
          <w:szCs w:val="17"/>
          <w:color w:val="333333"/>
        </w:rPr>
        <w:t> </w:t>
      </w:r>
      <w:r>
        <w:rPr>
          <w:rFonts w:ascii="SimSun" w:hAnsi="SimSun" w:eastAsia="SimSun" w:cs="SimSun"/>
          <w:sz w:val="17"/>
          <w:szCs w:val="17"/>
          <w:color w:val="333333"/>
          <w:spacing w:val="1"/>
        </w:rPr>
        <w:t>制度长期并存发展，在社会经济发展中各自发挥着相应的作用，</w:t>
      </w:r>
      <w:r>
        <w:rPr>
          <w:rFonts w:ascii="SimSun" w:hAnsi="SimSun" w:eastAsia="SimSun" w:cs="SimSun"/>
          <w:sz w:val="17"/>
          <w:szCs w:val="17"/>
          <w:color w:val="333333"/>
          <w:spacing w:val="7"/>
        </w:rPr>
        <w:t> </w:t>
      </w:r>
      <w:r>
        <w:rPr>
          <w:rFonts w:ascii="SimSun" w:hAnsi="SimSun" w:eastAsia="SimSun" w:cs="SimSun"/>
          <w:sz w:val="17"/>
          <w:szCs w:val="17"/>
          <w:color w:val="333333"/>
          <w:spacing w:val="1"/>
        </w:rPr>
        <w:t>目前仍有部分企业在执行企业会计制度。要进一步研究企业会计制</w:t>
      </w:r>
      <w:r>
        <w:rPr>
          <w:rFonts w:ascii="SimSun" w:hAnsi="SimSun" w:eastAsia="SimSun" w:cs="SimSun"/>
          <w:sz w:val="17"/>
          <w:szCs w:val="17"/>
          <w:color w:val="333333"/>
        </w:rPr>
        <w:t> </w:t>
      </w:r>
      <w:r>
        <w:rPr>
          <w:rFonts w:ascii="SimSun" w:hAnsi="SimSun" w:eastAsia="SimSun" w:cs="SimSun"/>
          <w:sz w:val="17"/>
          <w:szCs w:val="17"/>
          <w:color w:val="333333"/>
          <w:spacing w:val="1"/>
        </w:rPr>
        <w:t>度的下一步走向，根据我国经济结构特点和企业发展需要，探索建立适用我国中小型企业的会计准则体系。</w:t>
      </w:r>
    </w:p>
    <w:p>
      <w:pPr>
        <w:ind w:left="1043" w:right="1016" w:firstLine="350"/>
        <w:spacing w:before="108" w:line="327" w:lineRule="auto"/>
        <w:rPr>
          <w:rFonts w:ascii="SimSun" w:hAnsi="SimSun" w:eastAsia="SimSun" w:cs="SimSun"/>
          <w:sz w:val="17"/>
          <w:szCs w:val="17"/>
        </w:rPr>
      </w:pPr>
      <w:r>
        <w:rPr>
          <w:rFonts w:ascii="SimSun" w:hAnsi="SimSun" w:eastAsia="SimSun" w:cs="SimSun"/>
          <w:sz w:val="17"/>
          <w:szCs w:val="17"/>
          <w:color w:val="333333"/>
          <w:spacing w:val="2"/>
        </w:rPr>
        <w:t>7.充分发挥会计准则委员会在企业会计准则制定中的作用。一是持续深入开展国际会计准则研究，整合咨询委员、国际化高端</w:t>
      </w:r>
      <w:r>
        <w:rPr>
          <w:rFonts w:ascii="SimSun" w:hAnsi="SimSun" w:eastAsia="SimSun" w:cs="SimSun"/>
          <w:sz w:val="17"/>
          <w:szCs w:val="17"/>
          <w:color w:val="333333"/>
          <w:spacing w:val="27"/>
        </w:rPr>
        <w:t> </w:t>
      </w:r>
      <w:r>
        <w:rPr>
          <w:rFonts w:ascii="SimSun" w:hAnsi="SimSun" w:eastAsia="SimSun" w:cs="SimSun"/>
          <w:sz w:val="17"/>
          <w:szCs w:val="17"/>
          <w:color w:val="333333"/>
          <w:spacing w:val="2"/>
        </w:rPr>
        <w:t>会计人才培养工程学员等多方力量，为我国参与国际财务报告准则制定提供有力技术支撑。二是加强会计前瞻性问题研究，及时对</w:t>
      </w:r>
      <w:r>
        <w:rPr>
          <w:rFonts w:ascii="SimSun" w:hAnsi="SimSun" w:eastAsia="SimSun" w:cs="SimSun"/>
          <w:sz w:val="17"/>
          <w:szCs w:val="17"/>
          <w:color w:val="333333"/>
          <w:spacing w:val="35"/>
        </w:rPr>
        <w:t> </w:t>
      </w:r>
      <w:r>
        <w:rPr>
          <w:rFonts w:ascii="SimSun" w:hAnsi="SimSun" w:eastAsia="SimSun" w:cs="SimSun"/>
          <w:sz w:val="17"/>
          <w:szCs w:val="17"/>
          <w:color w:val="333333"/>
          <w:spacing w:val="2"/>
        </w:rPr>
        <w:t>新业态、新模式产生的会计问题进行技术研究，为我国企业会计准则建设提供前瞻性研究成果。三是持续做好企业会计准则咨询委</w:t>
      </w:r>
      <w:r>
        <w:rPr>
          <w:rFonts w:ascii="SimSun" w:hAnsi="SimSun" w:eastAsia="SimSun" w:cs="SimSun"/>
          <w:sz w:val="17"/>
          <w:szCs w:val="17"/>
          <w:color w:val="333333"/>
          <w:spacing w:val="35"/>
        </w:rPr>
        <w:t> </w:t>
      </w:r>
      <w:r>
        <w:rPr>
          <w:rFonts w:ascii="SimSun" w:hAnsi="SimSun" w:eastAsia="SimSun" w:cs="SimSun"/>
          <w:sz w:val="17"/>
          <w:szCs w:val="17"/>
          <w:color w:val="333333"/>
          <w:spacing w:val="1"/>
        </w:rPr>
        <w:t>员管理和国际化高端会计人才培养工作，加强队伍建设，发挥智库作用，服务我国会计准则建设工作。</w:t>
      </w:r>
    </w:p>
    <w:p>
      <w:pPr>
        <w:ind w:firstLine="1394"/>
        <w:spacing w:before="108" w:line="187" w:lineRule="auto"/>
        <w:rPr>
          <w:rFonts w:ascii="SimSun" w:hAnsi="SimSun" w:eastAsia="SimSun" w:cs="SimSun"/>
          <w:sz w:val="17"/>
          <w:szCs w:val="17"/>
        </w:rPr>
      </w:pPr>
      <w:r>
        <w:rPr>
          <w:rFonts w:ascii="SimSun" w:hAnsi="SimSun" w:eastAsia="SimSun" w:cs="SimSun"/>
          <w:sz w:val="17"/>
          <w:szCs w:val="17"/>
          <w:color w:val="333333"/>
        </w:rPr>
        <w:t>（二）持续推动企业会计准则体系高质量实施。</w:t>
      </w:r>
    </w:p>
    <w:p>
      <w:pPr>
        <w:ind w:left="1044" w:right="1016" w:firstLine="358"/>
        <w:spacing w:before="237" w:line="327" w:lineRule="auto"/>
        <w:rPr>
          <w:rFonts w:ascii="SimSun" w:hAnsi="SimSun" w:eastAsia="SimSun" w:cs="SimSun"/>
          <w:sz w:val="17"/>
          <w:szCs w:val="17"/>
        </w:rPr>
      </w:pPr>
      <w:r>
        <w:rPr>
          <w:rFonts w:ascii="SimSun" w:hAnsi="SimSun" w:eastAsia="SimSun" w:cs="SimSun"/>
          <w:sz w:val="17"/>
          <w:szCs w:val="17"/>
          <w:color w:val="333333"/>
          <w:spacing w:val="2"/>
        </w:rPr>
        <w:t>1.完善企业会计准则制度执行的运行框架，加强企业会计准则实施前模拟测试，建立适合我国的企业会计准则实施评估机制，</w:t>
      </w:r>
      <w:r>
        <w:rPr>
          <w:rFonts w:ascii="SimSun" w:hAnsi="SimSun" w:eastAsia="SimSun" w:cs="SimSun"/>
          <w:sz w:val="17"/>
          <w:szCs w:val="17"/>
          <w:color w:val="333333"/>
          <w:spacing w:val="18"/>
        </w:rPr>
        <w:t> </w:t>
      </w:r>
      <w:r>
        <w:rPr>
          <w:rFonts w:ascii="SimSun" w:hAnsi="SimSun" w:eastAsia="SimSun" w:cs="SimSun"/>
          <w:sz w:val="17"/>
          <w:szCs w:val="17"/>
          <w:color w:val="333333"/>
          <w:spacing w:val="2"/>
        </w:rPr>
        <w:t>确保企业会计准则体系的有效运行。通过“制订完善、指导实施、强化监管”三个主要环节之间的有机衔接、相互促进，建立健全</w:t>
      </w:r>
    </w:p>
    <w:p>
      <w:pPr>
        <w:ind w:firstLine="539"/>
        <w:spacing w:before="235" w:line="218" w:lineRule="exact"/>
        <w:rPr>
          <w:rFonts w:ascii="Arial" w:hAnsi="Arial" w:eastAsia="Arial" w:cs="Arial"/>
          <w:sz w:val="16"/>
          <w:szCs w:val="16"/>
        </w:rPr>
      </w:pPr>
      <w:r>
        <w:rPr>
          <w:rFonts w:ascii="Arial" w:hAnsi="Arial" w:eastAsia="Arial" w:cs="Arial"/>
          <w:sz w:val="16"/>
          <w:szCs w:val="16"/>
          <w:spacing w:val="-1"/>
        </w:rPr>
        <w:t>kjs.mof.gov.cn/zhengcejiedu/202201/t20220117_3782893.htm</w:t>
      </w:r>
      <w:r>
        <w:rPr>
          <w:rFonts w:ascii="Arial" w:hAnsi="Arial" w:eastAsia="Arial" w:cs="Arial"/>
          <w:sz w:val="16"/>
          <w:szCs w:val="16"/>
        </w:rPr>
        <w:t>                                                                                                                                            </w:t>
      </w:r>
      <w:r>
        <w:rPr>
          <w:rFonts w:ascii="Arial" w:hAnsi="Arial" w:eastAsia="Arial" w:cs="Arial"/>
          <w:sz w:val="16"/>
          <w:szCs w:val="16"/>
          <w:spacing w:val="-1"/>
        </w:rPr>
        <w:t>3/5</w:t>
      </w:r>
    </w:p>
    <w:p>
      <w:pPr>
        <w:sectPr>
          <w:pgSz w:w="11900" w:h="16839"/>
          <w:pgMar w:top="0" w:right="0" w:bottom="0" w:left="0" w:header="0" w:footer="0" w:gutter="0"/>
        </w:sectPr>
        <w:rPr/>
      </w:pPr>
    </w:p>
    <w:p>
      <w:pPr>
        <w:ind w:firstLine="533"/>
        <w:spacing w:line="204" w:lineRule="auto"/>
        <w:rPr>
          <w:rFonts w:ascii="Microsoft YaHei" w:hAnsi="Microsoft YaHei" w:eastAsia="Microsoft YaHei" w:cs="Microsoft YaHei"/>
          <w:sz w:val="16"/>
          <w:szCs w:val="16"/>
        </w:rPr>
      </w:pPr>
      <w:r>
        <w:rPr>
          <w:rFonts w:ascii="Arial" w:hAnsi="Arial" w:eastAsia="Arial" w:cs="Arial"/>
          <w:sz w:val="16"/>
          <w:szCs w:val="16"/>
          <w:spacing w:val="-1"/>
          <w:position w:val="1"/>
        </w:rPr>
        <w:t>2022/4/27</w:t>
      </w:r>
      <w:r>
        <w:rPr>
          <w:rFonts w:ascii="Arial" w:hAnsi="Arial" w:eastAsia="Arial" w:cs="Arial"/>
          <w:sz w:val="16"/>
          <w:szCs w:val="16"/>
          <w:spacing w:val="2"/>
          <w:position w:val="1"/>
        </w:rPr>
        <w:t>                 </w:t>
      </w:r>
      <w:r>
        <w:rPr>
          <w:rFonts w:ascii="Microsoft YaHei" w:hAnsi="Microsoft YaHei" w:eastAsia="Microsoft YaHei" w:cs="Microsoft YaHei"/>
          <w:sz w:val="16"/>
          <w:szCs w:val="16"/>
          <w:spacing w:val="-1"/>
        </w:rPr>
        <w:t>推动改革创新</w:t>
      </w:r>
      <w:r>
        <w:rPr>
          <w:rFonts w:ascii="Microsoft YaHei" w:hAnsi="Microsoft YaHei" w:eastAsia="Microsoft YaHei" w:cs="Microsoft YaHei"/>
          <w:sz w:val="16"/>
          <w:szCs w:val="16"/>
        </w:rPr>
        <w:t> </w:t>
      </w:r>
      <w:r>
        <w:rPr>
          <w:rFonts w:ascii="Microsoft YaHei" w:hAnsi="Microsoft YaHei" w:eastAsia="Microsoft YaHei" w:cs="Microsoft YaHei"/>
          <w:sz w:val="16"/>
          <w:szCs w:val="16"/>
          <w:spacing w:val="-1"/>
        </w:rPr>
        <w:t>提高服务效能</w:t>
      </w:r>
      <w:r>
        <w:rPr>
          <w:rFonts w:ascii="Microsoft YaHei" w:hAnsi="Microsoft YaHei" w:eastAsia="Microsoft YaHei" w:cs="Microsoft YaHei"/>
          <w:sz w:val="16"/>
          <w:szCs w:val="16"/>
        </w:rPr>
        <w:t> </w:t>
      </w:r>
      <w:r>
        <w:rPr>
          <w:rFonts w:ascii="Microsoft YaHei" w:hAnsi="Microsoft YaHei" w:eastAsia="Microsoft YaHei" w:cs="Microsoft YaHei"/>
          <w:sz w:val="16"/>
          <w:szCs w:val="16"/>
          <w:spacing w:val="-1"/>
        </w:rPr>
        <w:t>实现企业会计准则体系建设与实施高质量发展</w:t>
      </w:r>
      <w:r>
        <w:rPr>
          <w:rFonts w:ascii="Arial" w:hAnsi="Arial" w:eastAsia="Arial" w:cs="Arial"/>
          <w:sz w:val="16"/>
          <w:szCs w:val="16"/>
          <w:spacing w:val="-1"/>
        </w:rPr>
        <w:t>——</w:t>
      </w:r>
      <w:r>
        <w:rPr>
          <w:rFonts w:ascii="Arial" w:hAnsi="Arial" w:eastAsia="Arial" w:cs="Arial"/>
          <w:sz w:val="16"/>
          <w:szCs w:val="16"/>
          <w:spacing w:val="34"/>
        </w:rPr>
        <w:t> </w:t>
      </w:r>
      <w:r>
        <w:rPr>
          <w:rFonts w:ascii="Microsoft YaHei" w:hAnsi="Microsoft YaHei" w:eastAsia="Microsoft YaHei" w:cs="Microsoft YaHei"/>
          <w:sz w:val="16"/>
          <w:szCs w:val="16"/>
          <w:spacing w:val="-1"/>
        </w:rPr>
        <w:t>《会计改革与发展</w:t>
      </w:r>
      <w:r>
        <w:rPr>
          <w:rFonts w:ascii="Arial" w:hAnsi="Arial" w:eastAsia="Arial" w:cs="Arial"/>
          <w:sz w:val="16"/>
          <w:szCs w:val="16"/>
          <w:spacing w:val="-1"/>
        </w:rPr>
        <w:t>“</w:t>
      </w:r>
      <w:r>
        <w:rPr>
          <w:rFonts w:ascii="Microsoft YaHei" w:hAnsi="Microsoft YaHei" w:eastAsia="Microsoft YaHei" w:cs="Microsoft YaHei"/>
          <w:sz w:val="16"/>
          <w:szCs w:val="16"/>
          <w:spacing w:val="-1"/>
        </w:rPr>
        <w:t>十四五</w:t>
      </w:r>
      <w:r>
        <w:rPr>
          <w:rFonts w:ascii="Arial" w:hAnsi="Arial" w:eastAsia="Arial" w:cs="Arial"/>
          <w:sz w:val="16"/>
          <w:szCs w:val="16"/>
          <w:spacing w:val="-1"/>
        </w:rPr>
        <w:t>”</w:t>
      </w:r>
      <w:r>
        <w:rPr>
          <w:rFonts w:ascii="Microsoft YaHei" w:hAnsi="Microsoft YaHei" w:eastAsia="Microsoft YaHei" w:cs="Microsoft YaHei"/>
          <w:sz w:val="16"/>
          <w:szCs w:val="16"/>
          <w:spacing w:val="-1"/>
        </w:rPr>
        <w:t>规划纲要》系列解读之三</w:t>
      </w:r>
    </w:p>
    <w:p>
      <w:pPr>
        <w:ind w:firstLine="1046"/>
        <w:spacing w:before="119" w:line="187" w:lineRule="auto"/>
        <w:rPr>
          <w:rFonts w:ascii="SimSun" w:hAnsi="SimSun" w:eastAsia="SimSun" w:cs="SimSun"/>
          <w:sz w:val="17"/>
          <w:szCs w:val="17"/>
        </w:rPr>
      </w:pPr>
      <w:r>
        <w:rPr>
          <w:rFonts w:ascii="SimSun" w:hAnsi="SimSun" w:eastAsia="SimSun" w:cs="SimSun"/>
          <w:sz w:val="17"/>
          <w:szCs w:val="17"/>
          <w:color w:val="333333"/>
          <w:spacing w:val="2"/>
        </w:rPr>
        <w:t>企业会计准则闭环工作机制，提升准则执行效果，提高会计信息质量，服务经济社会发展。加强新准则实施前模拟测试，选取相关</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重点企业开展准则实施前模拟测试，了解掌握新准则实施预期影响和经济后果，及时发现新准则实施可能出现的新问题新情况，合</w:t>
      </w:r>
    </w:p>
    <w:p>
      <w:pPr>
        <w:ind w:firstLine="1046"/>
        <w:spacing w:before="129" w:line="187" w:lineRule="auto"/>
        <w:rPr>
          <w:rFonts w:ascii="SimSun" w:hAnsi="SimSun" w:eastAsia="SimSun" w:cs="SimSun"/>
          <w:sz w:val="17"/>
          <w:szCs w:val="17"/>
        </w:rPr>
      </w:pPr>
      <w:r>
        <w:rPr>
          <w:rFonts w:ascii="SimSun" w:hAnsi="SimSun" w:eastAsia="SimSun" w:cs="SimSun"/>
          <w:sz w:val="17"/>
          <w:szCs w:val="17"/>
          <w:color w:val="333333"/>
          <w:spacing w:val="2"/>
        </w:rPr>
        <w:t>理确定新准则实施时间和范围。结合经济社会发展、会计实务和国际趋同需要，研究建立适合我国的企业会计准则实施评估机制，</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1"/>
        </w:rPr>
        <w:t>适时对具体准则进行评估，提出改进计划和未来工作安排，推动提升企业会计准则体系建设和实施质量。</w:t>
      </w:r>
    </w:p>
    <w:p>
      <w:pPr>
        <w:ind w:firstLine="1391"/>
        <w:spacing w:before="236" w:line="187" w:lineRule="auto"/>
        <w:rPr>
          <w:rFonts w:ascii="SimSun" w:hAnsi="SimSun" w:eastAsia="SimSun" w:cs="SimSun"/>
          <w:sz w:val="17"/>
          <w:szCs w:val="17"/>
        </w:rPr>
      </w:pPr>
      <w:r>
        <w:rPr>
          <w:rFonts w:ascii="SimSun" w:hAnsi="SimSun" w:eastAsia="SimSun" w:cs="SimSun"/>
          <w:sz w:val="17"/>
          <w:szCs w:val="17"/>
          <w:color w:val="333333"/>
          <w:spacing w:val="2"/>
        </w:rPr>
        <w:t>2.优化企业会计准则实施快速反应机制，及时跟踪企业会计准则实施情况，进一步建立健全企业会计准则实施问题收集渠道，</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做好上市公司财报分析工作，加强企业会计准则应用案例、实施问答等实务指导，及时回应市场关切。坚持以人民为中心理念，从</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满足实务界日益增长的对准则实施指导的需要出发，不断优化企业会计准则快速反应机制，及时回应社会关切。建立健全并拓展企</w:t>
      </w:r>
    </w:p>
    <w:p>
      <w:pPr>
        <w:ind w:firstLine="1043"/>
        <w:spacing w:before="129" w:line="187" w:lineRule="auto"/>
        <w:rPr>
          <w:rFonts w:ascii="SimSun" w:hAnsi="SimSun" w:eastAsia="SimSun" w:cs="SimSun"/>
          <w:sz w:val="17"/>
          <w:szCs w:val="17"/>
        </w:rPr>
      </w:pPr>
      <w:r>
        <w:rPr>
          <w:rFonts w:ascii="SimSun" w:hAnsi="SimSun" w:eastAsia="SimSun" w:cs="SimSun"/>
          <w:sz w:val="17"/>
          <w:szCs w:val="17"/>
          <w:color w:val="333333"/>
          <w:spacing w:val="5"/>
        </w:rPr>
        <w:t>业会计准则实施问题收集渠道，及时广泛关注并收集准则实施问题。进一步细化准则实施问题解决路径，针对不同渠道、不同类</w:t>
      </w:r>
    </w:p>
    <w:p>
      <w:pPr>
        <w:ind w:firstLine="1049"/>
        <w:spacing w:before="129" w:line="187" w:lineRule="auto"/>
        <w:rPr>
          <w:rFonts w:ascii="SimSun" w:hAnsi="SimSun" w:eastAsia="SimSun" w:cs="SimSun"/>
          <w:sz w:val="17"/>
          <w:szCs w:val="17"/>
        </w:rPr>
      </w:pPr>
      <w:r>
        <w:rPr>
          <w:rFonts w:ascii="SimSun" w:hAnsi="SimSun" w:eastAsia="SimSun" w:cs="SimSun"/>
          <w:sz w:val="17"/>
          <w:szCs w:val="17"/>
          <w:color w:val="333333"/>
          <w:spacing w:val="2"/>
        </w:rPr>
        <w:t>型、不同层次问题分类、分层解决，提高问题解决的及时性、针对性、适用性。针对具有普遍性、代表性准则实施问题研究形成准</w:t>
      </w:r>
    </w:p>
    <w:p>
      <w:pPr>
        <w:ind w:firstLine="1047"/>
        <w:spacing w:before="129" w:line="187" w:lineRule="auto"/>
        <w:rPr>
          <w:rFonts w:ascii="SimSun" w:hAnsi="SimSun" w:eastAsia="SimSun" w:cs="SimSun"/>
          <w:sz w:val="17"/>
          <w:szCs w:val="17"/>
        </w:rPr>
      </w:pPr>
      <w:r>
        <w:rPr>
          <w:rFonts w:ascii="SimSun" w:hAnsi="SimSun" w:eastAsia="SimSun" w:cs="SimSun"/>
          <w:sz w:val="17"/>
          <w:szCs w:val="17"/>
          <w:color w:val="333333"/>
        </w:rPr>
        <w:t>则应用案例、实施问答，用于指导实务；</w:t>
      </w:r>
      <w:r>
        <w:rPr>
          <w:rFonts w:ascii="SimSun" w:hAnsi="SimSun" w:eastAsia="SimSun" w:cs="SimSun"/>
          <w:sz w:val="17"/>
          <w:szCs w:val="17"/>
          <w:color w:val="333333"/>
          <w:spacing w:val="58"/>
        </w:rPr>
        <w:t> </w:t>
      </w:r>
      <w:r>
        <w:rPr>
          <w:rFonts w:ascii="SimSun" w:hAnsi="SimSun" w:eastAsia="SimSun" w:cs="SimSun"/>
          <w:sz w:val="17"/>
          <w:szCs w:val="17"/>
          <w:color w:val="333333"/>
        </w:rPr>
        <w:t>针对难以通过案例或问答快速解决的问题，需要通过制定解释、修订准则解决的问题的，</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通过立项深入研究制定相关准则、解释。开展相关企业年报分析工作，系统了解企业会计准则实施质量，及时发现准则实施中的新</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1"/>
        </w:rPr>
        <w:t>情况、新问题，有效反映经济政策落地见效成果和宏观经济发展形势，为政策决策提供支持和参考。</w:t>
      </w:r>
    </w:p>
    <w:p>
      <w:pPr>
        <w:ind w:firstLine="1392"/>
        <w:spacing w:before="237" w:line="187" w:lineRule="auto"/>
        <w:rPr>
          <w:rFonts w:ascii="SimSun" w:hAnsi="SimSun" w:eastAsia="SimSun" w:cs="SimSun"/>
          <w:sz w:val="17"/>
          <w:szCs w:val="17"/>
        </w:rPr>
      </w:pPr>
      <w:r>
        <w:rPr>
          <w:rFonts w:ascii="SimSun" w:hAnsi="SimSun" w:eastAsia="SimSun" w:cs="SimSun"/>
          <w:sz w:val="17"/>
          <w:szCs w:val="17"/>
          <w:color w:val="333333"/>
          <w:spacing w:val="2"/>
        </w:rPr>
        <w:t>3.继续发挥由政府监管部门、企业、会计师事务所、理论学者等多方参与的企业会计准则实施机制的作用，探索建立常态化联</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合解决问题机制，加强信息共享与沟通，提高企业会计准则执行效果。坚持兼听则明、广开言路的企业会计准则建设和实施理念，</w:t>
      </w:r>
    </w:p>
    <w:p>
      <w:pPr>
        <w:ind w:firstLine="1043"/>
        <w:spacing w:before="129" w:line="187" w:lineRule="auto"/>
        <w:rPr>
          <w:rFonts w:ascii="SimSun" w:hAnsi="SimSun" w:eastAsia="SimSun" w:cs="SimSun"/>
          <w:sz w:val="17"/>
          <w:szCs w:val="17"/>
        </w:rPr>
      </w:pPr>
      <w:r>
        <w:rPr>
          <w:rFonts w:ascii="SimSun" w:hAnsi="SimSun" w:eastAsia="SimSun" w:cs="SimSun"/>
          <w:sz w:val="17"/>
          <w:szCs w:val="17"/>
          <w:color w:val="333333"/>
          <w:spacing w:val="2"/>
        </w:rPr>
        <w:t>在准则实施中充分听取来自监管界、实务界、理论界的不同角度的准则建设和实施相关意见建议。继续发挥企业会计准则实施联席</w:t>
      </w:r>
    </w:p>
    <w:p>
      <w:pPr>
        <w:ind w:firstLine="1043"/>
        <w:spacing w:before="129" w:line="187" w:lineRule="auto"/>
        <w:rPr>
          <w:rFonts w:ascii="SimSun" w:hAnsi="SimSun" w:eastAsia="SimSun" w:cs="SimSun"/>
          <w:sz w:val="17"/>
          <w:szCs w:val="17"/>
        </w:rPr>
      </w:pPr>
      <w:r>
        <w:rPr>
          <w:rFonts w:ascii="SimSun" w:hAnsi="SimSun" w:eastAsia="SimSun" w:cs="SimSun"/>
          <w:sz w:val="17"/>
          <w:szCs w:val="17"/>
          <w:color w:val="333333"/>
          <w:spacing w:val="2"/>
        </w:rPr>
        <w:t>会议机制、企业会计准则实施技术联络小组机制等作用，探索建立准则实施重要问题沟通会商机制，加强信息共享与沟通，注重共</w:t>
      </w:r>
    </w:p>
    <w:p>
      <w:pPr>
        <w:ind w:firstLine="1047"/>
        <w:spacing w:before="129" w:line="187" w:lineRule="auto"/>
        <w:rPr>
          <w:rFonts w:ascii="SimSun" w:hAnsi="SimSun" w:eastAsia="SimSun" w:cs="SimSun"/>
          <w:sz w:val="17"/>
          <w:szCs w:val="17"/>
        </w:rPr>
      </w:pPr>
      <w:r>
        <w:rPr>
          <w:rFonts w:ascii="SimSun" w:hAnsi="SimSun" w:eastAsia="SimSun" w:cs="SimSun"/>
          <w:sz w:val="17"/>
          <w:szCs w:val="17"/>
          <w:color w:val="333333"/>
          <w:spacing w:val="1"/>
        </w:rPr>
        <w:t>商共建，加大准则实施重难点问题研究解决力度，充分发挥会计工作服务经济社会高质量发展的基础性作用。</w:t>
      </w:r>
    </w:p>
    <w:p>
      <w:pPr>
        <w:ind w:firstLine="1404"/>
        <w:spacing w:before="237" w:line="187" w:lineRule="auto"/>
        <w:rPr>
          <w:rFonts w:ascii="SimSun" w:hAnsi="SimSun" w:eastAsia="SimSun" w:cs="SimSun"/>
          <w:sz w:val="17"/>
          <w:szCs w:val="17"/>
        </w:rPr>
      </w:pPr>
      <w:r>
        <w:rPr>
          <w:rFonts w:ascii="SimSun" w:hAnsi="SimSun" w:eastAsia="SimSun" w:cs="SimSun"/>
          <w:sz w:val="17"/>
          <w:szCs w:val="17"/>
          <w:color w:val="333333"/>
          <w:spacing w:val="10"/>
        </w:rPr>
        <w:t>四、落实具体举措的有关要求</w:t>
      </w:r>
    </w:p>
    <w:p>
      <w:pPr>
        <w:ind w:firstLine="1395"/>
        <w:spacing w:before="236" w:line="187" w:lineRule="auto"/>
        <w:rPr>
          <w:rFonts w:ascii="SimSun" w:hAnsi="SimSun" w:eastAsia="SimSun" w:cs="SimSun"/>
          <w:sz w:val="17"/>
          <w:szCs w:val="17"/>
        </w:rPr>
      </w:pPr>
      <w:r>
        <w:rPr>
          <w:rFonts w:ascii="SimSun" w:hAnsi="SimSun" w:eastAsia="SimSun" w:cs="SimSun"/>
          <w:sz w:val="17"/>
          <w:szCs w:val="17"/>
          <w:color w:val="333333"/>
          <w:spacing w:val="2"/>
        </w:rPr>
        <w:t>（一）企业要认真学习理解并严格执行企业会计准则，从源头上夯实会计准则落地根基。企业应当切实履行会计信息质量主体</w:t>
      </w:r>
    </w:p>
    <w:p>
      <w:pPr>
        <w:ind w:firstLine="1050"/>
        <w:spacing w:before="130" w:line="187" w:lineRule="auto"/>
        <w:rPr>
          <w:rFonts w:ascii="SimSun" w:hAnsi="SimSun" w:eastAsia="SimSun" w:cs="SimSun"/>
          <w:sz w:val="17"/>
          <w:szCs w:val="17"/>
        </w:rPr>
      </w:pPr>
      <w:r>
        <w:rPr>
          <w:rFonts w:ascii="SimSun" w:hAnsi="SimSun" w:eastAsia="SimSun" w:cs="SimSun"/>
          <w:sz w:val="17"/>
          <w:szCs w:val="17"/>
          <w:color w:val="333333"/>
          <w:spacing w:val="2"/>
        </w:rPr>
        <w:t>责任，建立健全会计信息质量治理架构，要及时根据财政部出台的企业会计准则的有关规定，结合本企业的经营特点和业务范围有</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针对性地完善本企业的内部会计核算办法，并做好新旧准则衔接工作，依据企业会计准则等国家统一的会计制度提供真实、完整的</w:t>
      </w:r>
    </w:p>
    <w:p>
      <w:pPr>
        <w:ind w:firstLine="1043"/>
        <w:spacing w:before="129" w:line="187" w:lineRule="auto"/>
        <w:rPr>
          <w:rFonts w:ascii="SimSun" w:hAnsi="SimSun" w:eastAsia="SimSun" w:cs="SimSun"/>
          <w:sz w:val="17"/>
          <w:szCs w:val="17"/>
        </w:rPr>
      </w:pPr>
      <w:r>
        <w:rPr>
          <w:rFonts w:ascii="SimSun" w:hAnsi="SimSun" w:eastAsia="SimSun" w:cs="SimSun"/>
          <w:sz w:val="17"/>
          <w:szCs w:val="17"/>
          <w:color w:val="333333"/>
          <w:spacing w:val="2"/>
        </w:rPr>
        <w:t>会计信息。企业负责人要高度重视并切实加强对会计工作的组织领导，对会计工作和会计资料的真实性、完整性负责，要亲自抓会</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计准则实施，制定实施计划，健全内部控制，落实主体责任。企业各级会计人员，包括总会计师、财务负责人、基层会计工作者，</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rPr>
        <w:t>要认真学习理解会计准则，始终保持知识更新，持续提升专业能力，将准确执行会计准则作为财会工作的基本功与看家本领；</w:t>
      </w:r>
      <w:r>
        <w:rPr>
          <w:rFonts w:ascii="SimSun" w:hAnsi="SimSun" w:eastAsia="SimSun" w:cs="SimSun"/>
          <w:sz w:val="17"/>
          <w:szCs w:val="17"/>
          <w:color w:val="333333"/>
          <w:spacing w:val="62"/>
          <w:w w:val="101"/>
        </w:rPr>
        <w:t> </w:t>
      </w:r>
      <w:r>
        <w:rPr>
          <w:rFonts w:ascii="SimSun" w:hAnsi="SimSun" w:eastAsia="SimSun" w:cs="SimSun"/>
          <w:sz w:val="17"/>
          <w:szCs w:val="17"/>
          <w:color w:val="333333"/>
        </w:rPr>
        <w:t>要强</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化会计诚信意识，践行会计诚信文化，杜绝财务舞弊，有效防范风险，从源头上夯实企业执行会计准则的基础，推动会计准则有效</w:t>
      </w:r>
    </w:p>
    <w:p>
      <w:pPr>
        <w:ind w:firstLine="1045"/>
        <w:spacing w:before="129" w:line="187" w:lineRule="auto"/>
        <w:rPr>
          <w:rFonts w:ascii="SimSun" w:hAnsi="SimSun" w:eastAsia="SimSun" w:cs="SimSun"/>
          <w:sz w:val="17"/>
          <w:szCs w:val="17"/>
        </w:rPr>
      </w:pPr>
      <w:r>
        <w:rPr>
          <w:rFonts w:ascii="SimSun" w:hAnsi="SimSun" w:eastAsia="SimSun" w:cs="SimSun"/>
          <w:sz w:val="17"/>
          <w:szCs w:val="17"/>
          <w:color w:val="333333"/>
          <w:spacing w:val="-4"/>
        </w:rPr>
        <w:t>落地实施。</w:t>
      </w:r>
    </w:p>
    <w:p>
      <w:pPr>
        <w:ind w:firstLine="1395"/>
        <w:spacing w:before="237" w:line="187" w:lineRule="auto"/>
        <w:rPr>
          <w:rFonts w:ascii="SimSun" w:hAnsi="SimSun" w:eastAsia="SimSun" w:cs="SimSun"/>
          <w:sz w:val="17"/>
          <w:szCs w:val="17"/>
        </w:rPr>
      </w:pPr>
      <w:r>
        <w:rPr>
          <w:rFonts w:ascii="SimSun" w:hAnsi="SimSun" w:eastAsia="SimSun" w:cs="SimSun"/>
          <w:sz w:val="17"/>
          <w:szCs w:val="17"/>
          <w:color w:val="333333"/>
        </w:rPr>
        <w:t>（二）</w:t>
      </w:r>
      <w:r>
        <w:rPr>
          <w:rFonts w:ascii="SimSun" w:hAnsi="SimSun" w:eastAsia="SimSun" w:cs="SimSun"/>
          <w:sz w:val="17"/>
          <w:szCs w:val="17"/>
          <w:color w:val="333333"/>
          <w:spacing w:val="52"/>
        </w:rPr>
        <w:t> </w:t>
      </w:r>
      <w:r>
        <w:rPr>
          <w:rFonts w:ascii="SimSun" w:hAnsi="SimSun" w:eastAsia="SimSun" w:cs="SimSun"/>
          <w:sz w:val="17"/>
          <w:szCs w:val="17"/>
          <w:color w:val="333333"/>
        </w:rPr>
        <w:t>会计师事务所要提高审计质量，积极发挥审计在促进提升会计准则实施效果中的作用。会计师事务所提供财务会计报告</w:t>
      </w:r>
    </w:p>
    <w:p>
      <w:pPr>
        <w:ind w:firstLine="1046"/>
        <w:spacing w:before="129" w:line="187" w:lineRule="auto"/>
        <w:rPr>
          <w:rFonts w:ascii="SimSun" w:hAnsi="SimSun" w:eastAsia="SimSun" w:cs="SimSun"/>
          <w:sz w:val="17"/>
          <w:szCs w:val="17"/>
        </w:rPr>
      </w:pPr>
      <w:r>
        <w:rPr>
          <w:rFonts w:ascii="SimSun" w:hAnsi="SimSun" w:eastAsia="SimSun" w:cs="SimSun"/>
          <w:sz w:val="17"/>
          <w:szCs w:val="17"/>
          <w:color w:val="333333"/>
          <w:spacing w:val="2"/>
        </w:rPr>
        <w:t>鉴证服务是推动会计准则有效实施的重要措施。会计师事务所应当认真学习、领会、贯彻《国务院办公厅关于进一步规范财务审计</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9"/>
        </w:rPr>
        <w:t>秩序</w:t>
      </w:r>
      <w:r>
        <w:rPr>
          <w:rFonts w:ascii="SimSun" w:hAnsi="SimSun" w:eastAsia="SimSun" w:cs="SimSun"/>
          <w:sz w:val="17"/>
          <w:szCs w:val="17"/>
          <w:color w:val="333333"/>
          <w:spacing w:val="14"/>
        </w:rPr>
        <w:t> </w:t>
      </w:r>
      <w:r>
        <w:rPr>
          <w:rFonts w:ascii="SimSun" w:hAnsi="SimSun" w:eastAsia="SimSun" w:cs="SimSun"/>
          <w:sz w:val="17"/>
          <w:szCs w:val="17"/>
          <w:color w:val="333333"/>
          <w:spacing w:val="-9"/>
        </w:rPr>
        <w:t>促进注册会计师行业健康发展的意见》</w:t>
      </w:r>
      <w:r>
        <w:rPr>
          <w:rFonts w:ascii="SimSun" w:hAnsi="SimSun" w:eastAsia="SimSun" w:cs="SimSun"/>
          <w:sz w:val="17"/>
          <w:szCs w:val="17"/>
          <w:color w:val="333333"/>
          <w:spacing w:val="6"/>
        </w:rPr>
        <w:t> </w:t>
      </w:r>
      <w:r>
        <w:rPr>
          <w:rFonts w:ascii="SimSun" w:hAnsi="SimSun" w:eastAsia="SimSun" w:cs="SimSun"/>
          <w:sz w:val="17"/>
          <w:szCs w:val="17"/>
          <w:color w:val="333333"/>
          <w:spacing w:val="-9"/>
        </w:rPr>
        <w:t>（国办发</w:t>
      </w:r>
      <w:r>
        <w:rPr>
          <w:rFonts w:ascii="SimSun" w:hAnsi="SimSun" w:eastAsia="SimSun" w:cs="SimSun"/>
          <w:sz w:val="17"/>
          <w:szCs w:val="17"/>
          <w:color w:val="333333"/>
          <w:spacing w:val="-22"/>
        </w:rPr>
        <w:t> </w:t>
      </w:r>
      <w:r>
        <w:rPr>
          <w:rFonts w:ascii="SimSun" w:hAnsi="SimSun" w:eastAsia="SimSun" w:cs="SimSun"/>
          <w:sz w:val="17"/>
          <w:szCs w:val="17"/>
          <w:color w:val="333333"/>
          <w:spacing w:val="-9"/>
        </w:rPr>
        <w:t>﹝</w:t>
      </w:r>
      <w:r>
        <w:rPr>
          <w:rFonts w:ascii="SimSun" w:hAnsi="SimSun" w:eastAsia="SimSun" w:cs="SimSun"/>
          <w:sz w:val="17"/>
          <w:szCs w:val="17"/>
          <w:color w:val="333333"/>
          <w:spacing w:val="1"/>
        </w:rPr>
        <w:t> </w:t>
      </w:r>
      <w:r>
        <w:rPr>
          <w:rFonts w:ascii="SimSun" w:hAnsi="SimSun" w:eastAsia="SimSun" w:cs="SimSun"/>
          <w:sz w:val="17"/>
          <w:szCs w:val="17"/>
          <w:color w:val="333333"/>
          <w:spacing w:val="-9"/>
        </w:rPr>
        <w:t>2021</w:t>
      </w:r>
      <w:r>
        <w:rPr>
          <w:rFonts w:ascii="SimSun" w:hAnsi="SimSun" w:eastAsia="SimSun" w:cs="SimSun"/>
          <w:sz w:val="17"/>
          <w:szCs w:val="17"/>
          <w:color w:val="333333"/>
          <w:spacing w:val="-8"/>
        </w:rPr>
        <w:t> </w:t>
      </w:r>
      <w:r>
        <w:rPr>
          <w:rFonts w:ascii="SimSun" w:hAnsi="SimSun" w:eastAsia="SimSun" w:cs="SimSun"/>
          <w:sz w:val="17"/>
          <w:szCs w:val="17"/>
          <w:color w:val="333333"/>
          <w:spacing w:val="-9"/>
        </w:rPr>
        <w:t>﹞</w:t>
      </w:r>
      <w:r>
        <w:rPr>
          <w:rFonts w:ascii="SimSun" w:hAnsi="SimSun" w:eastAsia="SimSun" w:cs="SimSun"/>
          <w:sz w:val="17"/>
          <w:szCs w:val="17"/>
          <w:color w:val="333333"/>
          <w:spacing w:val="-11"/>
        </w:rPr>
        <w:t> </w:t>
      </w:r>
      <w:r>
        <w:rPr>
          <w:rFonts w:ascii="SimSun" w:hAnsi="SimSun" w:eastAsia="SimSun" w:cs="SimSun"/>
          <w:sz w:val="17"/>
          <w:szCs w:val="17"/>
          <w:color w:val="333333"/>
          <w:spacing w:val="-9"/>
        </w:rPr>
        <w:t>30号</w:t>
      </w:r>
      <w:r>
        <w:rPr>
          <w:rFonts w:ascii="SimSun" w:hAnsi="SimSun" w:eastAsia="SimSun" w:cs="SimSun"/>
          <w:sz w:val="17"/>
          <w:szCs w:val="17"/>
          <w:color w:val="333333"/>
          <w:spacing w:val="-31"/>
        </w:rPr>
        <w:t>）</w:t>
      </w:r>
      <w:r>
        <w:rPr>
          <w:rFonts w:ascii="SimSun" w:hAnsi="SimSun" w:eastAsia="SimSun" w:cs="SimSun"/>
          <w:sz w:val="17"/>
          <w:szCs w:val="17"/>
          <w:color w:val="333333"/>
          <w:spacing w:val="32"/>
        </w:rPr>
        <w:t> </w:t>
      </w:r>
      <w:r>
        <w:rPr>
          <w:rFonts w:ascii="SimSun" w:hAnsi="SimSun" w:eastAsia="SimSun" w:cs="SimSun"/>
          <w:sz w:val="17"/>
          <w:szCs w:val="17"/>
          <w:color w:val="333333"/>
          <w:spacing w:val="-31"/>
        </w:rPr>
        <w:t>，</w:t>
      </w:r>
      <w:r>
        <w:rPr>
          <w:rFonts w:ascii="SimSun" w:hAnsi="SimSun" w:eastAsia="SimSun" w:cs="SimSun"/>
          <w:sz w:val="17"/>
          <w:szCs w:val="17"/>
          <w:color w:val="333333"/>
          <w:spacing w:val="-9"/>
        </w:rPr>
        <w:t>严格按照《会计法》</w:t>
      </w:r>
      <w:r>
        <w:rPr>
          <w:rFonts w:ascii="SimSun" w:hAnsi="SimSun" w:eastAsia="SimSun" w:cs="SimSun"/>
          <w:sz w:val="17"/>
          <w:szCs w:val="17"/>
          <w:color w:val="333333"/>
          <w:spacing w:val="13"/>
        </w:rPr>
        <w:t> </w:t>
      </w:r>
      <w:r>
        <w:rPr>
          <w:rFonts w:ascii="SimSun" w:hAnsi="SimSun" w:eastAsia="SimSun" w:cs="SimSun"/>
          <w:sz w:val="17"/>
          <w:szCs w:val="17"/>
          <w:color w:val="333333"/>
          <w:spacing w:val="-9"/>
        </w:rPr>
        <w:t>、</w:t>
      </w:r>
      <w:r>
        <w:rPr>
          <w:rFonts w:ascii="SimSun" w:hAnsi="SimSun" w:eastAsia="SimSun" w:cs="SimSun"/>
          <w:sz w:val="17"/>
          <w:szCs w:val="17"/>
          <w:color w:val="333333"/>
          <w:spacing w:val="-81"/>
        </w:rPr>
        <w:t> </w:t>
      </w:r>
      <w:r>
        <w:rPr>
          <w:rFonts w:ascii="SimSun" w:hAnsi="SimSun" w:eastAsia="SimSun" w:cs="SimSun"/>
          <w:sz w:val="17"/>
          <w:szCs w:val="17"/>
          <w:color w:val="333333"/>
          <w:spacing w:val="-9"/>
        </w:rPr>
        <w:t>《注册会计师法》</w:t>
      </w:r>
      <w:r>
        <w:rPr>
          <w:rFonts w:ascii="SimSun" w:hAnsi="SimSun" w:eastAsia="SimSun" w:cs="SimSun"/>
          <w:sz w:val="17"/>
          <w:szCs w:val="17"/>
          <w:color w:val="333333"/>
          <w:spacing w:val="13"/>
        </w:rPr>
        <w:t> </w:t>
      </w:r>
      <w:r>
        <w:rPr>
          <w:rFonts w:ascii="SimSun" w:hAnsi="SimSun" w:eastAsia="SimSun" w:cs="SimSun"/>
          <w:sz w:val="17"/>
          <w:szCs w:val="17"/>
          <w:color w:val="333333"/>
          <w:spacing w:val="-9"/>
        </w:rPr>
        <w:t>、</w:t>
      </w:r>
      <w:r>
        <w:rPr>
          <w:rFonts w:ascii="SimSun" w:hAnsi="SimSun" w:eastAsia="SimSun" w:cs="SimSun"/>
          <w:sz w:val="17"/>
          <w:szCs w:val="17"/>
          <w:color w:val="333333"/>
          <w:spacing w:val="-80"/>
        </w:rPr>
        <w:t> </w:t>
      </w:r>
      <w:r>
        <w:rPr>
          <w:rFonts w:ascii="SimSun" w:hAnsi="SimSun" w:eastAsia="SimSun" w:cs="SimSun"/>
          <w:sz w:val="17"/>
          <w:szCs w:val="17"/>
          <w:color w:val="333333"/>
          <w:spacing w:val="-9"/>
        </w:rPr>
        <w:t>《证券法》</w:t>
      </w:r>
      <w:r>
        <w:rPr>
          <w:rFonts w:ascii="SimSun" w:hAnsi="SimSun" w:eastAsia="SimSun" w:cs="SimSun"/>
          <w:sz w:val="17"/>
          <w:szCs w:val="17"/>
          <w:color w:val="333333"/>
          <w:spacing w:val="2"/>
        </w:rPr>
        <w:t> </w:t>
      </w:r>
      <w:r>
        <w:rPr>
          <w:rFonts w:ascii="SimSun" w:hAnsi="SimSun" w:eastAsia="SimSun" w:cs="SimSun"/>
          <w:sz w:val="17"/>
          <w:szCs w:val="17"/>
          <w:color w:val="333333"/>
          <w:spacing w:val="-9"/>
        </w:rPr>
        <w:t>等</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法律法规以及企业会计准则的规定开展审计鉴证和服务工作，紧抓质量提升主线，守住诚信操守底线，筑牢法律法规红线，充分发</w:t>
      </w:r>
    </w:p>
    <w:p>
      <w:pPr>
        <w:ind w:firstLine="1043"/>
        <w:spacing w:before="129" w:line="187" w:lineRule="auto"/>
        <w:rPr>
          <w:rFonts w:ascii="SimSun" w:hAnsi="SimSun" w:eastAsia="SimSun" w:cs="SimSun"/>
          <w:sz w:val="17"/>
          <w:szCs w:val="17"/>
        </w:rPr>
      </w:pPr>
      <w:r>
        <w:rPr>
          <w:rFonts w:ascii="SimSun" w:hAnsi="SimSun" w:eastAsia="SimSun" w:cs="SimSun"/>
          <w:sz w:val="17"/>
          <w:szCs w:val="17"/>
          <w:color w:val="333333"/>
          <w:spacing w:val="2"/>
        </w:rPr>
        <w:t>挥审计鉴证作用，持续规范财务审计秩序，提高审计质量，积极发挥审计监督在提高会计信息质量中的作用。会计师事务所和注册</w:t>
      </w:r>
    </w:p>
    <w:p>
      <w:pPr>
        <w:ind w:firstLine="1043"/>
        <w:spacing w:before="129" w:line="187" w:lineRule="auto"/>
        <w:rPr>
          <w:rFonts w:ascii="SimSun" w:hAnsi="SimSun" w:eastAsia="SimSun" w:cs="SimSun"/>
          <w:sz w:val="17"/>
          <w:szCs w:val="17"/>
        </w:rPr>
      </w:pPr>
      <w:r>
        <w:rPr>
          <w:rFonts w:ascii="SimSun" w:hAnsi="SimSun" w:eastAsia="SimSun" w:cs="SimSun"/>
          <w:sz w:val="17"/>
          <w:szCs w:val="17"/>
          <w:color w:val="333333"/>
          <w:spacing w:val="3"/>
        </w:rPr>
        <w:t>会计师要持续加强自身诚信建设，牢固坚守诚信为本的理念，坚持良好的执业操守；</w:t>
      </w:r>
      <w:r>
        <w:rPr>
          <w:rFonts w:ascii="SimSun" w:hAnsi="SimSun" w:eastAsia="SimSun" w:cs="SimSun"/>
          <w:sz w:val="17"/>
          <w:szCs w:val="17"/>
          <w:color w:val="333333"/>
          <w:spacing w:val="66"/>
        </w:rPr>
        <w:t> </w:t>
      </w:r>
      <w:r>
        <w:rPr>
          <w:rFonts w:ascii="SimSun" w:hAnsi="SimSun" w:eastAsia="SimSun" w:cs="SimSun"/>
          <w:sz w:val="17"/>
          <w:szCs w:val="17"/>
          <w:color w:val="333333"/>
          <w:spacing w:val="3"/>
        </w:rPr>
        <w:t>要持续加强能力建设，加大准则学习培训力</w:t>
      </w:r>
    </w:p>
    <w:p>
      <w:pPr>
        <w:ind w:firstLine="1043"/>
        <w:spacing w:before="129" w:line="187" w:lineRule="auto"/>
        <w:rPr>
          <w:rFonts w:ascii="SimSun" w:hAnsi="SimSun" w:eastAsia="SimSun" w:cs="SimSun"/>
          <w:sz w:val="17"/>
          <w:szCs w:val="17"/>
        </w:rPr>
      </w:pPr>
      <w:r>
        <w:rPr>
          <w:rFonts w:ascii="SimSun" w:hAnsi="SimSun" w:eastAsia="SimSun" w:cs="SimSun"/>
          <w:sz w:val="17"/>
          <w:szCs w:val="17"/>
          <w:color w:val="333333"/>
        </w:rPr>
        <w:t>度，重点关注准则实施情况，抓住审计工作重点；</w:t>
      </w:r>
      <w:r>
        <w:rPr>
          <w:rFonts w:ascii="SimSun" w:hAnsi="SimSun" w:eastAsia="SimSun" w:cs="SimSun"/>
          <w:sz w:val="17"/>
          <w:szCs w:val="17"/>
          <w:color w:val="333333"/>
          <w:spacing w:val="64"/>
        </w:rPr>
        <w:t> </w:t>
      </w:r>
      <w:r>
        <w:rPr>
          <w:rFonts w:ascii="SimSun" w:hAnsi="SimSun" w:eastAsia="SimSun" w:cs="SimSun"/>
          <w:sz w:val="17"/>
          <w:szCs w:val="17"/>
          <w:color w:val="333333"/>
        </w:rPr>
        <w:t>要切实贯彻落实风险导向审计理念和方法，重点关注高风险行业和领域，严格执</w:t>
      </w:r>
    </w:p>
    <w:p>
      <w:pPr>
        <w:ind w:firstLine="1046"/>
        <w:spacing w:before="129" w:line="187" w:lineRule="auto"/>
        <w:rPr>
          <w:rFonts w:ascii="SimSun" w:hAnsi="SimSun" w:eastAsia="SimSun" w:cs="SimSun"/>
          <w:sz w:val="17"/>
          <w:szCs w:val="17"/>
        </w:rPr>
      </w:pPr>
      <w:r>
        <w:rPr>
          <w:rFonts w:ascii="SimSun" w:hAnsi="SimSun" w:eastAsia="SimSun" w:cs="SimSun"/>
          <w:sz w:val="17"/>
          <w:szCs w:val="17"/>
          <w:color w:val="333333"/>
          <w:spacing w:val="1"/>
        </w:rPr>
        <w:t>行审计程序，保证执业质量，发挥审计监督作用，进一步提升企业会计准则实施效果。</w:t>
      </w:r>
    </w:p>
    <w:p>
      <w:pPr>
        <w:ind w:firstLine="1395"/>
        <w:spacing w:before="237" w:line="187" w:lineRule="auto"/>
        <w:rPr>
          <w:rFonts w:ascii="SimSun" w:hAnsi="SimSun" w:eastAsia="SimSun" w:cs="SimSun"/>
          <w:sz w:val="17"/>
          <w:szCs w:val="17"/>
        </w:rPr>
      </w:pPr>
      <w:r>
        <w:rPr>
          <w:rFonts w:ascii="SimSun" w:hAnsi="SimSun" w:eastAsia="SimSun" w:cs="SimSun"/>
          <w:sz w:val="17"/>
          <w:szCs w:val="17"/>
          <w:color w:val="333333"/>
        </w:rPr>
        <w:t>（三）</w:t>
      </w:r>
      <w:r>
        <w:rPr>
          <w:rFonts w:ascii="SimSun" w:hAnsi="SimSun" w:eastAsia="SimSun" w:cs="SimSun"/>
          <w:sz w:val="17"/>
          <w:szCs w:val="17"/>
          <w:color w:val="333333"/>
          <w:spacing w:val="50"/>
        </w:rPr>
        <w:t> </w:t>
      </w:r>
      <w:r>
        <w:rPr>
          <w:rFonts w:ascii="SimSun" w:hAnsi="SimSun" w:eastAsia="SimSun" w:cs="SimSun"/>
          <w:sz w:val="17"/>
          <w:szCs w:val="17"/>
          <w:color w:val="333333"/>
        </w:rPr>
        <w:t>各地财政部门要充分发挥在企业会计准则实施中的作用，共同推进企业会计准则有效实施。企业会计准则的贯彻实施，</w:t>
      </w:r>
    </w:p>
    <w:p>
      <w:pPr>
        <w:ind w:firstLine="1046"/>
        <w:spacing w:before="129" w:line="187" w:lineRule="auto"/>
        <w:rPr>
          <w:rFonts w:ascii="SimSun" w:hAnsi="SimSun" w:eastAsia="SimSun" w:cs="SimSun"/>
          <w:sz w:val="17"/>
          <w:szCs w:val="17"/>
        </w:rPr>
      </w:pPr>
      <w:r>
        <w:rPr>
          <w:rFonts w:ascii="SimSun" w:hAnsi="SimSun" w:eastAsia="SimSun" w:cs="SimSun"/>
          <w:sz w:val="17"/>
          <w:szCs w:val="17"/>
          <w:color w:val="333333"/>
          <w:spacing w:val="2"/>
        </w:rPr>
        <w:t>离不开各级财政部门特别是会计管理机构的大力推动。各级财政部门要加强宣传培训，引导社会有关方面重视和支持会计工作。要</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加强与同级相关业务主管部门的沟通与协调，齐抓共管形成合力，推动辖区内有关企业贯彻实施国家统一的会计制度的督促指导。</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5"/>
        </w:rPr>
        <w:t>要加大调查研究力度，向财政部会计司及时反映企业会计准则实施情况，及时反馈企业会计准则实施问题，强化“上传下达”功</w:t>
      </w:r>
    </w:p>
    <w:p>
      <w:pPr>
        <w:ind w:firstLine="1050"/>
        <w:spacing w:before="129" w:line="187" w:lineRule="auto"/>
        <w:rPr>
          <w:rFonts w:ascii="SimSun" w:hAnsi="SimSun" w:eastAsia="SimSun" w:cs="SimSun"/>
          <w:sz w:val="17"/>
          <w:szCs w:val="17"/>
        </w:rPr>
      </w:pPr>
      <w:r>
        <w:rPr>
          <w:rFonts w:ascii="SimSun" w:hAnsi="SimSun" w:eastAsia="SimSun" w:cs="SimSun"/>
          <w:sz w:val="17"/>
          <w:szCs w:val="17"/>
          <w:color w:val="333333"/>
        </w:rPr>
        <w:t>能，上下联动，协力推进企业会计准则体系建设和实施。</w:t>
      </w:r>
    </w:p>
    <w:p>
      <w:pPr>
        <w:ind w:firstLine="1395"/>
        <w:spacing w:before="237" w:line="187" w:lineRule="auto"/>
        <w:rPr>
          <w:rFonts w:ascii="SimSun" w:hAnsi="SimSun" w:eastAsia="SimSun" w:cs="SimSun"/>
          <w:sz w:val="17"/>
          <w:szCs w:val="17"/>
        </w:rPr>
      </w:pPr>
      <w:r>
        <w:rPr>
          <w:rFonts w:ascii="SimSun" w:hAnsi="SimSun" w:eastAsia="SimSun" w:cs="SimSun"/>
          <w:sz w:val="17"/>
          <w:szCs w:val="17"/>
          <w:color w:val="333333"/>
          <w:spacing w:val="1"/>
        </w:rPr>
        <w:t>（四）</w:t>
      </w:r>
      <w:r>
        <w:rPr>
          <w:rFonts w:ascii="SimSun" w:hAnsi="SimSun" w:eastAsia="SimSun" w:cs="SimSun"/>
          <w:sz w:val="17"/>
          <w:szCs w:val="17"/>
          <w:color w:val="333333"/>
          <w:spacing w:val="-3"/>
        </w:rPr>
        <w:t> </w:t>
      </w:r>
      <w:r>
        <w:rPr>
          <w:rFonts w:ascii="SimSun" w:hAnsi="SimSun" w:eastAsia="SimSun" w:cs="SimSun"/>
          <w:sz w:val="17"/>
          <w:szCs w:val="17"/>
          <w:color w:val="333333"/>
          <w:spacing w:val="1"/>
        </w:rPr>
        <w:t>监督检查部门要加强协同配合，强化会计审计监管，全面提升会计信息质量。财政部继续发挥企业会计准则建设实施中</w:t>
      </w:r>
    </w:p>
    <w:p>
      <w:pPr>
        <w:ind w:firstLine="1058"/>
        <w:spacing w:before="129" w:line="187" w:lineRule="auto"/>
        <w:rPr>
          <w:rFonts w:ascii="SimSun" w:hAnsi="SimSun" w:eastAsia="SimSun" w:cs="SimSun"/>
          <w:sz w:val="17"/>
          <w:szCs w:val="17"/>
        </w:rPr>
      </w:pPr>
      <w:r>
        <w:rPr>
          <w:rFonts w:ascii="SimSun" w:hAnsi="SimSun" w:eastAsia="SimSun" w:cs="SimSun"/>
          <w:sz w:val="17"/>
          <w:szCs w:val="17"/>
          <w:color w:val="333333"/>
          <w:spacing w:val="2"/>
        </w:rPr>
        <w:t>的主导作用，持续加强与国资委、银保监会、证监会等监管部门的协同配合，严厉打击财务造假行为，提高违法成本，针对会计准</w:t>
      </w:r>
    </w:p>
    <w:p>
      <w:pPr>
        <w:ind w:firstLine="1047"/>
        <w:spacing w:before="129" w:line="187" w:lineRule="auto"/>
        <w:rPr>
          <w:rFonts w:ascii="SimSun" w:hAnsi="SimSun" w:eastAsia="SimSun" w:cs="SimSun"/>
          <w:sz w:val="17"/>
          <w:szCs w:val="17"/>
        </w:rPr>
      </w:pPr>
      <w:r>
        <w:rPr>
          <w:rFonts w:ascii="SimSun" w:hAnsi="SimSun" w:eastAsia="SimSun" w:cs="SimSun"/>
          <w:sz w:val="17"/>
          <w:szCs w:val="17"/>
          <w:color w:val="333333"/>
          <w:spacing w:val="2"/>
        </w:rPr>
        <w:t>则实施中存在的不到位、有偏差问题，进一步完善部门间沟通协调机制，加强相关信息共享，形成监管合力，提高会计信息质量监</w:t>
      </w:r>
    </w:p>
    <w:p>
      <w:pPr>
        <w:ind w:firstLine="1048"/>
        <w:spacing w:before="129" w:line="187" w:lineRule="auto"/>
        <w:rPr>
          <w:rFonts w:ascii="SimSun" w:hAnsi="SimSun" w:eastAsia="SimSun" w:cs="SimSun"/>
          <w:sz w:val="17"/>
          <w:szCs w:val="17"/>
        </w:rPr>
      </w:pPr>
      <w:r>
        <w:rPr>
          <w:rFonts w:ascii="SimSun" w:hAnsi="SimSun" w:eastAsia="SimSun" w:cs="SimSun"/>
          <w:sz w:val="17"/>
          <w:szCs w:val="17"/>
          <w:color w:val="333333"/>
          <w:spacing w:val="1"/>
        </w:rPr>
        <w:t>管效能，形成全国上下一盘棋的会计准则实施监管格局，切实保证会计准则实施效果，全面提升企业会计信息质量。</w:t>
      </w:r>
    </w:p>
    <w:p>
      <w:pPr>
        <w:ind w:firstLine="1401"/>
        <w:spacing w:before="237" w:line="187" w:lineRule="auto"/>
        <w:rPr>
          <w:rFonts w:ascii="SimSun" w:hAnsi="SimSun" w:eastAsia="SimSun" w:cs="SimSun"/>
          <w:sz w:val="17"/>
          <w:szCs w:val="17"/>
        </w:rPr>
      </w:pPr>
      <w:r>
        <w:rPr>
          <w:rFonts w:ascii="SimSun" w:hAnsi="SimSun" w:eastAsia="SimSun" w:cs="SimSun"/>
          <w:sz w:val="17"/>
          <w:szCs w:val="17"/>
          <w:color w:val="333333"/>
          <w:spacing w:val="4"/>
        </w:rPr>
        <w:t>（五）</w:t>
      </w:r>
      <w:r>
        <w:rPr>
          <w:rFonts w:ascii="SimSun" w:hAnsi="SimSun" w:eastAsia="SimSun" w:cs="SimSun"/>
          <w:sz w:val="17"/>
          <w:szCs w:val="17"/>
          <w:color w:val="333333"/>
        </w:rPr>
        <w:t> </w:t>
      </w:r>
      <w:r>
        <w:rPr>
          <w:rFonts w:ascii="SimSun" w:hAnsi="SimSun" w:eastAsia="SimSun" w:cs="SimSun"/>
          <w:sz w:val="17"/>
          <w:szCs w:val="17"/>
          <w:color w:val="333333"/>
          <w:spacing w:val="4"/>
        </w:rPr>
        <w:t>鼓励社会各界积极参与，营造企业会计准则建设实施的良好氛围。鼓励社会各界积极参与企业会计准则研究、征求意</w:t>
      </w:r>
    </w:p>
    <w:p>
      <w:pPr>
        <w:ind w:firstLine="1046"/>
        <w:spacing w:before="129" w:line="187" w:lineRule="auto"/>
        <w:rPr>
          <w:rFonts w:ascii="SimSun" w:hAnsi="SimSun" w:eastAsia="SimSun" w:cs="SimSun"/>
          <w:sz w:val="17"/>
          <w:szCs w:val="17"/>
        </w:rPr>
      </w:pPr>
      <w:r>
        <w:rPr>
          <w:rFonts w:ascii="SimSun" w:hAnsi="SimSun" w:eastAsia="SimSun" w:cs="SimSun"/>
          <w:sz w:val="17"/>
          <w:szCs w:val="17"/>
          <w:color w:val="333333"/>
          <w:spacing w:val="2"/>
        </w:rPr>
        <w:t>见、实施等各个阶段，积极反馈实务做法、提出政策建议。鼓励专家学者、高校或研究机构等加强前瞻性学术研究，为企业会计准</w:t>
      </w:r>
    </w:p>
    <w:p>
      <w:pPr>
        <w:ind w:firstLine="1047"/>
        <w:spacing w:before="129" w:line="187" w:lineRule="auto"/>
        <w:rPr>
          <w:rFonts w:ascii="SimSun" w:hAnsi="SimSun" w:eastAsia="SimSun" w:cs="SimSun"/>
          <w:sz w:val="17"/>
          <w:szCs w:val="17"/>
        </w:rPr>
      </w:pPr>
      <w:r>
        <w:rPr>
          <w:rFonts w:ascii="SimSun" w:hAnsi="SimSun" w:eastAsia="SimSun" w:cs="SimSun"/>
          <w:sz w:val="17"/>
          <w:szCs w:val="17"/>
          <w:color w:val="333333"/>
          <w:spacing w:val="8"/>
        </w:rPr>
        <w:t>则建设实施提供理论支持和技术储备。鼓励社会各界加强对实务经验的总结和分享，共同营造企业会计准则建设实施的良好氛</w:t>
      </w:r>
    </w:p>
    <w:p>
      <w:pPr>
        <w:ind w:firstLine="1059"/>
        <w:spacing w:before="129" w:line="187" w:lineRule="auto"/>
        <w:rPr>
          <w:rFonts w:ascii="SimSun" w:hAnsi="SimSun" w:eastAsia="SimSun" w:cs="SimSun"/>
          <w:sz w:val="17"/>
          <w:szCs w:val="17"/>
        </w:rPr>
      </w:pPr>
      <w:r>
        <w:rPr>
          <w:rFonts w:ascii="SimSun" w:hAnsi="SimSun" w:eastAsia="SimSun" w:cs="SimSun"/>
          <w:sz w:val="17"/>
          <w:szCs w:val="17"/>
          <w:color w:val="333333"/>
          <w:spacing w:val="-11"/>
        </w:rPr>
        <w:t>围。</w:t>
      </w:r>
    </w:p>
    <w:p>
      <w:pPr>
        <w:ind w:firstLine="1039"/>
        <w:spacing w:before="238" w:line="180" w:lineRule="auto"/>
        <w:rPr>
          <w:rFonts w:ascii="Microsoft YaHei" w:hAnsi="Microsoft YaHei" w:eastAsia="Microsoft YaHei" w:cs="Microsoft YaHei"/>
          <w:sz w:val="17"/>
          <w:szCs w:val="17"/>
        </w:rPr>
      </w:pPr>
      <w:r>
        <w:rPr>
          <w:rFonts w:ascii="Microsoft YaHei" w:hAnsi="Microsoft YaHei" w:eastAsia="Microsoft YaHei" w:cs="Microsoft YaHei"/>
          <w:sz w:val="17"/>
          <w:szCs w:val="17"/>
          <w:color w:val="333333"/>
          <w:spacing w:val="1"/>
        </w:rPr>
        <w:t>相关文章:</w:t>
      </w:r>
    </w:p>
    <w:p>
      <w:pPr>
        <w:spacing w:line="257" w:lineRule="auto"/>
        <w:rPr>
          <w:rFonts w:ascii="SimSun"/>
          <w:sz w:val="21"/>
        </w:rPr>
      </w:pPr>
      <w:r/>
    </w:p>
    <w:p>
      <w:pPr>
        <w:ind w:firstLine="539"/>
        <w:spacing w:before="46" w:line="218" w:lineRule="exact"/>
        <w:rPr>
          <w:rFonts w:ascii="Arial" w:hAnsi="Arial" w:eastAsia="Arial" w:cs="Arial"/>
          <w:sz w:val="16"/>
          <w:szCs w:val="16"/>
        </w:rPr>
      </w:pPr>
      <w:r>
        <w:rPr>
          <w:rFonts w:ascii="Arial" w:hAnsi="Arial" w:eastAsia="Arial" w:cs="Arial"/>
          <w:sz w:val="16"/>
          <w:szCs w:val="16"/>
          <w:spacing w:val="-1"/>
        </w:rPr>
        <w:t>kjs.mof.gov.cn/zhengcejiedu/202201/t20220117_3782893.htm</w:t>
      </w:r>
      <w:r>
        <w:rPr>
          <w:rFonts w:ascii="Arial" w:hAnsi="Arial" w:eastAsia="Arial" w:cs="Arial"/>
          <w:sz w:val="16"/>
          <w:szCs w:val="16"/>
        </w:rPr>
        <w:t>                                                                                                                                            </w:t>
      </w:r>
      <w:r>
        <w:rPr>
          <w:rFonts w:ascii="Arial" w:hAnsi="Arial" w:eastAsia="Arial" w:cs="Arial"/>
          <w:sz w:val="16"/>
          <w:szCs w:val="16"/>
          <w:spacing w:val="-1"/>
        </w:rPr>
        <w:t>4/5</w:t>
      </w:r>
    </w:p>
    <w:p>
      <w:pPr>
        <w:sectPr>
          <w:headerReference w:type="default" r:id="rId7"/>
          <w:pgSz w:w="11900" w:h="16839"/>
          <w:pgMar w:top="293" w:right="0" w:bottom="0" w:left="0" w:header="0" w:footer="0" w:gutter="0"/>
        </w:sectPr>
        <w:rPr/>
      </w:pPr>
    </w:p>
    <w:p>
      <w:pPr>
        <w:ind w:firstLine="533"/>
        <w:spacing w:line="204" w:lineRule="auto"/>
        <w:rPr>
          <w:rFonts w:ascii="Microsoft YaHei" w:hAnsi="Microsoft YaHei" w:eastAsia="Microsoft YaHei" w:cs="Microsoft YaHei"/>
          <w:sz w:val="16"/>
          <w:szCs w:val="16"/>
        </w:rPr>
      </w:pPr>
      <w:r>
        <w:drawing>
          <wp:anchor distT="0" distB="0" distL="0" distR="0" simplePos="0" relativeHeight="251668480" behindDoc="0" locked="0" layoutInCell="0" allowOverlap="1">
            <wp:simplePos x="0" y="0"/>
            <wp:positionH relativeFrom="page">
              <wp:posOffset>457123</wp:posOffset>
            </wp:positionH>
            <wp:positionV relativeFrom="page">
              <wp:posOffset>1331700</wp:posOffset>
            </wp:positionV>
            <wp:extent cx="6648119" cy="6832"/>
            <wp:effectExtent l="0" t="0" r="0" b="0"/>
            <wp:wrapNone/>
            <wp:docPr id="4" name="IM 4"/>
            <wp:cNvGraphicFramePr/>
            <a:graphic>
              <a:graphicData uri="http://schemas.openxmlformats.org/drawingml/2006/picture">
                <pic:pic>
                  <pic:nvPicPr>
                    <pic:cNvPr id="4" name="IM 4"/>
                    <pic:cNvPicPr/>
                  </pic:nvPicPr>
                  <pic:blipFill>
                    <a:blip r:embed="rId9"/>
                    <a:stretch>
                      <a:fillRect/>
                    </a:stretch>
                  </pic:blipFill>
                  <pic:spPr>
                    <a:xfrm rot="0">
                      <a:off x="0" y="0"/>
                      <a:ext cx="6648119" cy="6832"/>
                    </a:xfrm>
                    <a:prstGeom prst="rect">
                      <a:avLst/>
                    </a:prstGeom>
                  </pic:spPr>
                </pic:pic>
              </a:graphicData>
            </a:graphic>
          </wp:anchor>
        </w:drawing>
      </w:r>
      <w:r>
        <w:drawing>
          <wp:anchor distT="0" distB="0" distL="0" distR="0" simplePos="0" relativeHeight="251666432" behindDoc="0" locked="0" layoutInCell="0" allowOverlap="1">
            <wp:simplePos x="0" y="0"/>
            <wp:positionH relativeFrom="page">
              <wp:posOffset>1304366</wp:posOffset>
            </wp:positionH>
            <wp:positionV relativeFrom="page">
              <wp:posOffset>1816810</wp:posOffset>
            </wp:positionV>
            <wp:extent cx="840409" cy="362127"/>
            <wp:effectExtent l="0" t="0" r="0" b="0"/>
            <wp:wrapNone/>
            <wp:docPr id="5" name="IM 5"/>
            <wp:cNvGraphicFramePr/>
            <a:graphic>
              <a:graphicData uri="http://schemas.openxmlformats.org/drawingml/2006/picture">
                <pic:pic>
                  <pic:nvPicPr>
                    <pic:cNvPr id="5" name="IM 5"/>
                    <pic:cNvPicPr/>
                  </pic:nvPicPr>
                  <pic:blipFill>
                    <a:blip r:embed="rId10"/>
                    <a:stretch>
                      <a:fillRect/>
                    </a:stretch>
                  </pic:blipFill>
                  <pic:spPr>
                    <a:xfrm rot="0">
                      <a:off x="0" y="0"/>
                      <a:ext cx="840409" cy="362127"/>
                    </a:xfrm>
                    <a:prstGeom prst="rect">
                      <a:avLst/>
                    </a:prstGeom>
                  </pic:spPr>
                </pic:pic>
              </a:graphicData>
            </a:graphic>
          </wp:anchor>
        </w:drawing>
      </w:r>
      <w:r>
        <w:drawing>
          <wp:anchor distT="0" distB="0" distL="0" distR="0" simplePos="0" relativeHeight="251667456" behindDoc="0" locked="0" layoutInCell="0" allowOverlap="1">
            <wp:simplePos x="0" y="0"/>
            <wp:positionH relativeFrom="page">
              <wp:posOffset>2172106</wp:posOffset>
            </wp:positionH>
            <wp:positionV relativeFrom="page">
              <wp:posOffset>1782645</wp:posOffset>
            </wp:positionV>
            <wp:extent cx="471449" cy="430456"/>
            <wp:effectExtent l="0" t="0" r="0" b="0"/>
            <wp:wrapNone/>
            <wp:docPr id="6" name="IM 6"/>
            <wp:cNvGraphicFramePr/>
            <a:graphic>
              <a:graphicData uri="http://schemas.openxmlformats.org/drawingml/2006/picture">
                <pic:pic>
                  <pic:nvPicPr>
                    <pic:cNvPr id="6" name="IM 6"/>
                    <pic:cNvPicPr/>
                  </pic:nvPicPr>
                  <pic:blipFill>
                    <a:blip r:embed="rId11"/>
                    <a:stretch>
                      <a:fillRect/>
                    </a:stretch>
                  </pic:blipFill>
                  <pic:spPr>
                    <a:xfrm rot="0">
                      <a:off x="0" y="0"/>
                      <a:ext cx="471449" cy="430456"/>
                    </a:xfrm>
                    <a:prstGeom prst="rect">
                      <a:avLst/>
                    </a:prstGeom>
                  </pic:spPr>
                </pic:pic>
              </a:graphicData>
            </a:graphic>
          </wp:anchor>
        </w:drawing>
      </w:r>
      <w:r>
        <w:rPr>
          <w:rFonts w:ascii="Arial" w:hAnsi="Arial" w:eastAsia="Arial" w:cs="Arial"/>
          <w:sz w:val="16"/>
          <w:szCs w:val="16"/>
          <w:spacing w:val="-1"/>
          <w:position w:val="1"/>
        </w:rPr>
        <w:t>2022/4/27</w:t>
      </w:r>
      <w:r>
        <w:rPr>
          <w:rFonts w:ascii="Arial" w:hAnsi="Arial" w:eastAsia="Arial" w:cs="Arial"/>
          <w:sz w:val="16"/>
          <w:szCs w:val="16"/>
          <w:spacing w:val="2"/>
          <w:position w:val="1"/>
        </w:rPr>
        <w:t>                 </w:t>
      </w:r>
      <w:r>
        <w:rPr>
          <w:rFonts w:ascii="Microsoft YaHei" w:hAnsi="Microsoft YaHei" w:eastAsia="Microsoft YaHei" w:cs="Microsoft YaHei"/>
          <w:sz w:val="16"/>
          <w:szCs w:val="16"/>
          <w:spacing w:val="-1"/>
        </w:rPr>
        <w:t>推动改革创新</w:t>
      </w:r>
      <w:r>
        <w:rPr>
          <w:rFonts w:ascii="Microsoft YaHei" w:hAnsi="Microsoft YaHei" w:eastAsia="Microsoft YaHei" w:cs="Microsoft YaHei"/>
          <w:sz w:val="16"/>
          <w:szCs w:val="16"/>
        </w:rPr>
        <w:t> </w:t>
      </w:r>
      <w:r>
        <w:rPr>
          <w:rFonts w:ascii="Microsoft YaHei" w:hAnsi="Microsoft YaHei" w:eastAsia="Microsoft YaHei" w:cs="Microsoft YaHei"/>
          <w:sz w:val="16"/>
          <w:szCs w:val="16"/>
          <w:spacing w:val="-1"/>
        </w:rPr>
        <w:t>提高服务效能</w:t>
      </w:r>
      <w:r>
        <w:rPr>
          <w:rFonts w:ascii="Microsoft YaHei" w:hAnsi="Microsoft YaHei" w:eastAsia="Microsoft YaHei" w:cs="Microsoft YaHei"/>
          <w:sz w:val="16"/>
          <w:szCs w:val="16"/>
        </w:rPr>
        <w:t> </w:t>
      </w:r>
      <w:r>
        <w:rPr>
          <w:rFonts w:ascii="Microsoft YaHei" w:hAnsi="Microsoft YaHei" w:eastAsia="Microsoft YaHei" w:cs="Microsoft YaHei"/>
          <w:sz w:val="16"/>
          <w:szCs w:val="16"/>
          <w:spacing w:val="-1"/>
        </w:rPr>
        <w:t>实现企业会计准则体系建设与实施高质量发展</w:t>
      </w:r>
      <w:r>
        <w:rPr>
          <w:rFonts w:ascii="Arial" w:hAnsi="Arial" w:eastAsia="Arial" w:cs="Arial"/>
          <w:sz w:val="16"/>
          <w:szCs w:val="16"/>
          <w:spacing w:val="-1"/>
        </w:rPr>
        <w:t>——</w:t>
      </w:r>
      <w:r>
        <w:rPr>
          <w:rFonts w:ascii="Arial" w:hAnsi="Arial" w:eastAsia="Arial" w:cs="Arial"/>
          <w:sz w:val="16"/>
          <w:szCs w:val="16"/>
          <w:spacing w:val="34"/>
        </w:rPr>
        <w:t> </w:t>
      </w:r>
      <w:r>
        <w:rPr>
          <w:rFonts w:ascii="Microsoft YaHei" w:hAnsi="Microsoft YaHei" w:eastAsia="Microsoft YaHei" w:cs="Microsoft YaHei"/>
          <w:sz w:val="16"/>
          <w:szCs w:val="16"/>
          <w:spacing w:val="-1"/>
        </w:rPr>
        <w:t>《会计改革与发展</w:t>
      </w:r>
      <w:r>
        <w:rPr>
          <w:rFonts w:ascii="Arial" w:hAnsi="Arial" w:eastAsia="Arial" w:cs="Arial"/>
          <w:sz w:val="16"/>
          <w:szCs w:val="16"/>
          <w:spacing w:val="-1"/>
        </w:rPr>
        <w:t>“</w:t>
      </w:r>
      <w:r>
        <w:rPr>
          <w:rFonts w:ascii="Microsoft YaHei" w:hAnsi="Microsoft YaHei" w:eastAsia="Microsoft YaHei" w:cs="Microsoft YaHei"/>
          <w:sz w:val="16"/>
          <w:szCs w:val="16"/>
          <w:spacing w:val="-1"/>
        </w:rPr>
        <w:t>十四五</w:t>
      </w:r>
      <w:r>
        <w:rPr>
          <w:rFonts w:ascii="Arial" w:hAnsi="Arial" w:eastAsia="Arial" w:cs="Arial"/>
          <w:sz w:val="16"/>
          <w:szCs w:val="16"/>
          <w:spacing w:val="-1"/>
        </w:rPr>
        <w:t>”</w:t>
      </w:r>
      <w:r>
        <w:rPr>
          <w:rFonts w:ascii="Microsoft YaHei" w:hAnsi="Microsoft YaHei" w:eastAsia="Microsoft YaHei" w:cs="Microsoft YaHei"/>
          <w:sz w:val="16"/>
          <w:szCs w:val="16"/>
          <w:spacing w:val="-1"/>
        </w:rPr>
        <w:t>规划纲要》系列解读之三</w:t>
      </w:r>
    </w:p>
    <w:p>
      <w:pPr>
        <w:ind w:firstLine="1040"/>
        <w:spacing w:before="95" w:line="188" w:lineRule="auto"/>
        <w:rPr>
          <w:rFonts w:ascii="Microsoft YaHei" w:hAnsi="Microsoft YaHei" w:eastAsia="Microsoft YaHei" w:cs="Microsoft YaHei"/>
          <w:sz w:val="16"/>
          <w:szCs w:val="16"/>
        </w:rPr>
      </w:pPr>
      <w:hyperlink w:history="true" r:id="rId12">
        <w:r>
          <w:rPr>
            <w:rFonts w:ascii="Microsoft YaHei" w:hAnsi="Microsoft YaHei" w:eastAsia="Microsoft YaHei" w:cs="Microsoft YaHei"/>
            <w:sz w:val="16"/>
            <w:szCs w:val="16"/>
            <w:color w:val="2B50A8"/>
            <w:spacing w:val="1"/>
          </w:rPr>
          <w:t>关于印发《会计改革与发展“十四五”规划纲要》的通知</w:t>
        </w:r>
      </w:hyperlink>
    </w:p>
    <w:p>
      <w:pPr>
        <w:spacing w:line="202" w:lineRule="exact"/>
        <w:rPr/>
      </w:pPr>
      <w:r/>
    </w:p>
    <w:p>
      <w:pPr>
        <w:sectPr>
          <w:headerReference w:type="default" r:id="rId8"/>
          <w:pgSz w:w="11900" w:h="16839"/>
          <w:pgMar w:top="293" w:right="0" w:bottom="0" w:left="0" w:header="0" w:footer="0" w:gutter="0"/>
          <w:cols w:equalWidth="0" w:num="1">
            <w:col w:w="11900" w:space="0"/>
          </w:cols>
        </w:sectPr>
        <w:rPr/>
      </w:pPr>
    </w:p>
    <w:p>
      <w:pPr>
        <w:ind w:firstLine="1039"/>
        <w:spacing w:before="56" w:line="213" w:lineRule="auto"/>
        <w:rPr>
          <w:sz w:val="15"/>
          <w:szCs w:val="15"/>
        </w:rPr>
      </w:pPr>
      <w:r>
        <w:rPr>
          <w:rFonts w:ascii="Microsoft YaHei" w:hAnsi="Microsoft YaHei" w:eastAsia="Microsoft YaHei" w:cs="Microsoft YaHei"/>
          <w:sz w:val="15"/>
          <w:szCs w:val="15"/>
          <w:color w:val="333333"/>
          <w:spacing w:val="-1"/>
        </w:rPr>
        <w:t>发布日期:</w:t>
      </w:r>
      <w:r>
        <w:rPr>
          <w:rFonts w:ascii="Microsoft YaHei" w:hAnsi="Microsoft YaHei" w:eastAsia="Microsoft YaHei" w:cs="Microsoft YaHei"/>
          <w:sz w:val="15"/>
          <w:szCs w:val="15"/>
          <w:color w:val="333333"/>
          <w:spacing w:val="10"/>
          <w:w w:val="101"/>
        </w:rPr>
        <w:t>  </w:t>
      </w:r>
      <w:r>
        <w:rPr>
          <w:rFonts w:ascii="Microsoft YaHei" w:hAnsi="Microsoft YaHei" w:eastAsia="Microsoft YaHei" w:cs="Microsoft YaHei"/>
          <w:sz w:val="15"/>
          <w:szCs w:val="15"/>
          <w:color w:val="333333"/>
          <w:spacing w:val="-1"/>
        </w:rPr>
        <w:t>2021年12月31日</w:t>
      </w:r>
      <w:r>
        <w:rPr>
          <w:rFonts w:ascii="Microsoft YaHei" w:hAnsi="Microsoft YaHei" w:eastAsia="Microsoft YaHei" w:cs="Microsoft YaHei"/>
          <w:sz w:val="15"/>
          <w:szCs w:val="15"/>
          <w:color w:val="333333"/>
        </w:rPr>
        <w:t>                                                                                                                              </w:t>
      </w:r>
      <w:r>
        <w:rPr>
          <w:sz w:val="15"/>
          <w:szCs w:val="15"/>
          <w:position w:val="-12"/>
        </w:rPr>
        <w:drawing>
          <wp:inline distT="0" distB="0" distL="0" distR="0">
            <wp:extent cx="396291" cy="177647"/>
            <wp:effectExtent l="0" t="0" r="0" b="0"/>
            <wp:docPr id="7" name="IM 7"/>
            <wp:cNvGraphicFramePr/>
            <a:graphic>
              <a:graphicData uri="http://schemas.openxmlformats.org/drawingml/2006/picture">
                <pic:pic>
                  <pic:nvPicPr>
                    <pic:cNvPr id="7" name="IM 7"/>
                    <pic:cNvPicPr/>
                  </pic:nvPicPr>
                  <pic:blipFill>
                    <a:blip r:embed="rId13"/>
                    <a:stretch>
                      <a:fillRect/>
                    </a:stretch>
                  </pic:blipFill>
                  <pic:spPr>
                    <a:xfrm rot="0">
                      <a:off x="0" y="0"/>
                      <a:ext cx="396291" cy="177647"/>
                    </a:xfrm>
                    <a:prstGeom prst="rect">
                      <a:avLst/>
                    </a:prstGeom>
                  </pic:spPr>
                </pic:pic>
              </a:graphicData>
            </a:graphic>
          </wp:inline>
        </w:drawing>
      </w:r>
    </w:p>
    <w:p>
      <w:pPr>
        <w:ind w:firstLine="8412"/>
        <w:spacing w:before="199" w:line="194"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333333"/>
          <w:spacing w:val="-9"/>
        </w:rPr>
        <w:t>【</w:t>
      </w:r>
      <w:r>
        <w:rPr>
          <w:rFonts w:ascii="Microsoft YaHei" w:hAnsi="Microsoft YaHei" w:eastAsia="Microsoft YaHei" w:cs="Microsoft YaHei"/>
          <w:sz w:val="14"/>
          <w:szCs w:val="14"/>
          <w:color w:val="333333"/>
          <w:spacing w:val="-6"/>
        </w:rPr>
        <w:t> </w:t>
      </w:r>
      <w:r>
        <w:rPr>
          <w:rFonts w:ascii="Microsoft YaHei" w:hAnsi="Microsoft YaHei" w:eastAsia="Microsoft YaHei" w:cs="Microsoft YaHei"/>
          <w:sz w:val="12"/>
          <w:szCs w:val="12"/>
          <w:color w:val="333333"/>
          <w:spacing w:val="-9"/>
        </w:rPr>
        <w:t>大</w:t>
      </w:r>
      <w:r>
        <w:rPr>
          <w:rFonts w:ascii="Microsoft YaHei" w:hAnsi="Microsoft YaHei" w:eastAsia="Microsoft YaHei" w:cs="Microsoft YaHei"/>
          <w:sz w:val="12"/>
          <w:szCs w:val="12"/>
          <w:color w:val="333333"/>
          <w:spacing w:val="9"/>
          <w:w w:val="101"/>
        </w:rPr>
        <w:t> </w:t>
      </w:r>
      <w:r>
        <w:rPr>
          <w:rFonts w:ascii="Microsoft YaHei" w:hAnsi="Microsoft YaHei" w:eastAsia="Microsoft YaHei" w:cs="Microsoft YaHei"/>
          <w:sz w:val="12"/>
          <w:szCs w:val="12"/>
          <w:color w:val="333333"/>
          <w:spacing w:val="-9"/>
        </w:rPr>
        <w:t>中</w:t>
      </w:r>
      <w:r>
        <w:rPr>
          <w:rFonts w:ascii="Microsoft YaHei" w:hAnsi="Microsoft YaHei" w:eastAsia="Microsoft YaHei" w:cs="Microsoft YaHei"/>
          <w:sz w:val="12"/>
          <w:szCs w:val="12"/>
          <w:color w:val="333333"/>
          <w:spacing w:val="1"/>
          <w:w w:val="101"/>
        </w:rPr>
        <w:t> </w:t>
      </w:r>
      <w:r>
        <w:rPr>
          <w:rFonts w:ascii="Microsoft YaHei" w:hAnsi="Microsoft YaHei" w:eastAsia="Microsoft YaHei" w:cs="Microsoft YaHei"/>
          <w:sz w:val="12"/>
          <w:szCs w:val="12"/>
          <w:color w:val="333333"/>
          <w:spacing w:val="-9"/>
        </w:rPr>
        <w:t>小</w:t>
      </w:r>
      <w:r>
        <w:rPr>
          <w:rFonts w:ascii="Microsoft YaHei" w:hAnsi="Microsoft YaHei" w:eastAsia="Microsoft YaHei" w:cs="Microsoft YaHei"/>
          <w:sz w:val="12"/>
          <w:szCs w:val="12"/>
          <w:color w:val="333333"/>
          <w:spacing w:val="-2"/>
        </w:rPr>
        <w:t> </w:t>
      </w:r>
      <w:r>
        <w:rPr>
          <w:rFonts w:ascii="Microsoft YaHei" w:hAnsi="Microsoft YaHei" w:eastAsia="Microsoft YaHei" w:cs="Microsoft YaHei"/>
          <w:sz w:val="14"/>
          <w:szCs w:val="14"/>
          <w:color w:val="333333"/>
          <w:spacing w:val="-9"/>
        </w:rPr>
        <w:t>】</w:t>
      </w:r>
    </w:p>
    <w:p>
      <w:pPr>
        <w:spacing w:line="14" w:lineRule="auto"/>
        <w:rPr>
          <w:rFonts w:ascii="SimSun"/>
          <w:sz w:val="2"/>
        </w:rPr>
      </w:pPr>
      <w:r>
        <w:rPr>
          <w:rFonts w:ascii="SimSun" w:hAnsi="SimSun" w:eastAsia="SimSun" w:cs="SimSun"/>
          <w:sz w:val="2"/>
          <w:szCs w:val="2"/>
        </w:rPr>
        <w:br w:type="column"/>
      </w:r>
    </w:p>
    <w:p>
      <w:pPr>
        <w:spacing w:before="54" w:line="280" w:lineRule="exact"/>
        <w:textAlignment w:val="center"/>
        <w:rPr/>
      </w:pPr>
      <w:r>
        <w:drawing>
          <wp:inline distT="0" distB="0" distL="0" distR="0">
            <wp:extent cx="177647" cy="177647"/>
            <wp:effectExtent l="0" t="0" r="0" b="0"/>
            <wp:docPr id="8" name="IM 8"/>
            <wp:cNvGraphicFramePr/>
            <a:graphic>
              <a:graphicData uri="http://schemas.openxmlformats.org/drawingml/2006/picture">
                <pic:pic>
                  <pic:nvPicPr>
                    <pic:cNvPr id="8" name="IM 8"/>
                    <pic:cNvPicPr/>
                  </pic:nvPicPr>
                  <pic:blipFill>
                    <a:blip r:embed="rId14"/>
                    <a:stretch>
                      <a:fillRect/>
                    </a:stretch>
                  </pic:blipFill>
                  <pic:spPr>
                    <a:xfrm rot="0">
                      <a:off x="0" y="0"/>
                      <a:ext cx="177647" cy="177647"/>
                    </a:xfrm>
                    <a:prstGeom prst="rect">
                      <a:avLst/>
                    </a:prstGeom>
                  </pic:spPr>
                </pic:pic>
              </a:graphicData>
            </a:graphic>
          </wp:inline>
        </w:drawing>
      </w:r>
    </w:p>
    <w:p>
      <w:pPr>
        <w:ind w:firstLine="108"/>
        <w:spacing w:before="215" w:line="185" w:lineRule="auto"/>
        <w:rPr>
          <w:rFonts w:ascii="Microsoft YaHei" w:hAnsi="Microsoft YaHei" w:eastAsia="Microsoft YaHei" w:cs="Microsoft YaHei"/>
          <w:sz w:val="13"/>
          <w:szCs w:val="13"/>
        </w:rPr>
      </w:pPr>
      <w:hyperlink w:history="true" r:id="rId15">
        <w:r>
          <w:rPr>
            <w:rFonts w:ascii="Microsoft YaHei" w:hAnsi="Microsoft YaHei" w:eastAsia="Microsoft YaHei" w:cs="Microsoft YaHei"/>
            <w:sz w:val="13"/>
            <w:szCs w:val="13"/>
            <w:color w:val="007DC1"/>
            <w:spacing w:val="-4"/>
          </w:rPr>
          <w:t>【打印此页】</w:t>
        </w:r>
      </w:hyperlink>
    </w:p>
    <w:p>
      <w:pPr>
        <w:spacing w:line="14" w:lineRule="auto"/>
        <w:rPr>
          <w:rFonts w:ascii="SimSun"/>
          <w:sz w:val="2"/>
        </w:rPr>
      </w:pPr>
      <w:r>
        <w:rPr>
          <w:rFonts w:ascii="SimSun" w:hAnsi="SimSun" w:eastAsia="SimSun" w:cs="SimSun"/>
          <w:sz w:val="2"/>
          <w:szCs w:val="2"/>
        </w:rPr>
        <w:br w:type="column"/>
      </w:r>
    </w:p>
    <w:p>
      <w:pPr>
        <w:spacing w:line="434" w:lineRule="auto"/>
        <w:rPr>
          <w:rFonts w:ascii="SimSun"/>
          <w:sz w:val="21"/>
        </w:rPr>
      </w:pPr>
      <w:r/>
    </w:p>
    <w:p>
      <w:pPr>
        <w:ind w:firstLine="2"/>
        <w:spacing w:before="55" w:line="185" w:lineRule="auto"/>
        <w:rPr>
          <w:rFonts w:ascii="Microsoft YaHei" w:hAnsi="Microsoft YaHei" w:eastAsia="Microsoft YaHei" w:cs="Microsoft YaHei"/>
          <w:sz w:val="13"/>
          <w:szCs w:val="13"/>
        </w:rPr>
      </w:pPr>
      <w:hyperlink w:history="true" r:id="rId16">
        <w:r>
          <w:rPr>
            <w:rFonts w:ascii="Microsoft YaHei" w:hAnsi="Microsoft YaHei" w:eastAsia="Microsoft YaHei" w:cs="Microsoft YaHei"/>
            <w:sz w:val="13"/>
            <w:szCs w:val="13"/>
            <w:color w:val="333333"/>
            <w:spacing w:val="-3"/>
          </w:rPr>
          <w:t>【关闭窗口】</w:t>
        </w:r>
      </w:hyperlink>
    </w:p>
    <w:p>
      <w:pPr>
        <w:sectPr>
          <w:type w:val="continuous"/>
          <w:pgSz w:w="11900" w:h="16839"/>
          <w:pgMar w:top="293" w:right="0" w:bottom="0" w:left="0" w:header="0" w:footer="0" w:gutter="0"/>
          <w:cols w:equalWidth="0" w:num="3">
            <w:col w:w="9160" w:space="28"/>
            <w:col w:w="872" w:space="53"/>
            <w:col w:w="1786" w:space="0"/>
          </w:cols>
        </w:sectPr>
        <w:rPr/>
      </w:pPr>
    </w:p>
    <w:p>
      <w:pPr>
        <w:rPr/>
      </w:pPr>
      <w:r/>
    </w:p>
    <w:p>
      <w:pPr>
        <w:rPr/>
      </w:pPr>
      <w:r/>
    </w:p>
    <w:p>
      <w:pPr>
        <w:spacing w:line="70" w:lineRule="exact"/>
        <w:rPr/>
      </w:pPr>
      <w:r/>
    </w:p>
    <w:p>
      <w:pPr>
        <w:sectPr>
          <w:type w:val="continuous"/>
          <w:pgSz w:w="11900" w:h="16839"/>
          <w:pgMar w:top="293" w:right="0" w:bottom="0" w:left="0" w:header="0" w:footer="0" w:gutter="0"/>
          <w:cols w:equalWidth="0" w:num="1">
            <w:col w:w="11900" w:space="0"/>
          </w:cols>
        </w:sectPr>
        <w:rPr/>
      </w:pPr>
    </w:p>
    <w:p>
      <w:pPr>
        <w:ind w:firstLine="6215"/>
        <w:spacing w:before="43" w:line="188" w:lineRule="auto"/>
        <w:rPr>
          <w:rFonts w:ascii="Microsoft YaHei" w:hAnsi="Microsoft YaHei" w:eastAsia="Microsoft YaHei" w:cs="Microsoft YaHei"/>
          <w:sz w:val="16"/>
          <w:szCs w:val="16"/>
        </w:rPr>
      </w:pPr>
      <w:hyperlink w:history="true" r:id="rId17">
        <w:r>
          <w:rPr>
            <w:rFonts w:ascii="Microsoft YaHei" w:hAnsi="Microsoft YaHei" w:eastAsia="Microsoft YaHei" w:cs="Microsoft YaHei"/>
            <w:sz w:val="16"/>
            <w:szCs w:val="16"/>
            <w:color w:val="222222"/>
            <w:spacing w:val="-2"/>
          </w:rPr>
          <w:t>网站地图</w:t>
        </w:r>
      </w:hyperlink>
    </w:p>
    <w:p>
      <w:pPr>
        <w:spacing w:line="14" w:lineRule="auto"/>
        <w:rPr>
          <w:rFonts w:ascii="SimSun"/>
          <w:sz w:val="2"/>
        </w:rPr>
      </w:pPr>
      <w:r>
        <w:rPr>
          <w:rFonts w:ascii="SimSun" w:hAnsi="SimSun" w:eastAsia="SimSun" w:cs="SimSun"/>
          <w:sz w:val="2"/>
          <w:szCs w:val="2"/>
        </w:rPr>
        <w:br w:type="column"/>
      </w:r>
    </w:p>
    <w:p>
      <w:pPr>
        <w:ind w:firstLine="98"/>
        <w:spacing w:before="63" w:line="172" w:lineRule="exact"/>
        <w:textAlignment w:val="center"/>
        <w:rPr/>
      </w:pPr>
      <w:r>
        <w:drawing>
          <wp:inline distT="0" distB="0" distL="0" distR="0">
            <wp:extent cx="6832" cy="109321"/>
            <wp:effectExtent l="0" t="0" r="0" b="0"/>
            <wp:docPr id="9" name="IM 9"/>
            <wp:cNvGraphicFramePr/>
            <a:graphic>
              <a:graphicData uri="http://schemas.openxmlformats.org/drawingml/2006/picture">
                <pic:pic>
                  <pic:nvPicPr>
                    <pic:cNvPr id="9" name="IM 9"/>
                    <pic:cNvPicPr/>
                  </pic:nvPicPr>
                  <pic:blipFill>
                    <a:blip r:embed="rId18"/>
                    <a:stretch>
                      <a:fillRect/>
                    </a:stretch>
                  </pic:blipFill>
                  <pic:spPr>
                    <a:xfrm rot="0">
                      <a:off x="0" y="0"/>
                      <a:ext cx="6832" cy="109321"/>
                    </a:xfrm>
                    <a:prstGeom prst="rect">
                      <a:avLst/>
                    </a:prstGeom>
                  </pic:spPr>
                </pic:pic>
              </a:graphicData>
            </a:graphic>
          </wp:inline>
        </w:drawing>
      </w:r>
    </w:p>
    <w:p>
      <w:pPr>
        <w:spacing w:line="14" w:lineRule="auto"/>
        <w:rPr>
          <w:rFonts w:ascii="SimSun"/>
          <w:sz w:val="2"/>
        </w:rPr>
      </w:pPr>
      <w:r>
        <w:rPr>
          <w:rFonts w:ascii="SimSun" w:hAnsi="SimSun" w:eastAsia="SimSun" w:cs="SimSun"/>
          <w:sz w:val="2"/>
          <w:szCs w:val="2"/>
        </w:rPr>
        <w:br w:type="column"/>
      </w:r>
    </w:p>
    <w:p>
      <w:pPr>
        <w:ind w:firstLine="72"/>
        <w:spacing w:before="42" w:line="188" w:lineRule="auto"/>
        <w:rPr>
          <w:rFonts w:ascii="Microsoft YaHei" w:hAnsi="Microsoft YaHei" w:eastAsia="Microsoft YaHei" w:cs="Microsoft YaHei"/>
          <w:sz w:val="16"/>
          <w:szCs w:val="16"/>
        </w:rPr>
      </w:pPr>
      <w:hyperlink w:history="true" r:id="rId19">
        <w:r>
          <w:rPr>
            <w:rFonts w:ascii="Microsoft YaHei" w:hAnsi="Microsoft YaHei" w:eastAsia="Microsoft YaHei" w:cs="Microsoft YaHei"/>
            <w:sz w:val="16"/>
            <w:szCs w:val="16"/>
            <w:color w:val="222222"/>
          </w:rPr>
          <w:t>联系我们</w:t>
        </w:r>
      </w:hyperlink>
    </w:p>
    <w:p>
      <w:pPr>
        <w:sectPr>
          <w:type w:val="continuous"/>
          <w:pgSz w:w="11900" w:h="16839"/>
          <w:pgMar w:top="293" w:right="0" w:bottom="0" w:left="0" w:header="0" w:footer="0" w:gutter="0"/>
          <w:cols w:equalWidth="0" w:num="3">
            <w:col w:w="6946" w:space="100"/>
            <w:col w:w="181" w:space="100"/>
            <w:col w:w="4573" w:space="0"/>
          </w:cols>
        </w:sectPr>
        <w:rPr/>
      </w:pPr>
    </w:p>
    <w:p>
      <w:pPr>
        <w:ind w:firstLine="6076"/>
        <w:spacing w:before="214"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spacing w:val="-1"/>
        </w:rPr>
        <w:t>主办单位：中华人民共和国财政部</w:t>
      </w:r>
    </w:p>
    <w:p>
      <w:pPr>
        <w:ind w:firstLine="4402"/>
        <w:spacing w:before="47" w:line="22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rPr>
        <w:t>网站标识码：bm14000001</w:t>
      </w:r>
      <w:r>
        <w:rPr>
          <w:rFonts w:ascii="Microsoft YaHei" w:hAnsi="Microsoft YaHei" w:eastAsia="Microsoft YaHei" w:cs="Microsoft YaHei"/>
          <w:sz w:val="14"/>
          <w:szCs w:val="14"/>
          <w:color w:val="222222"/>
          <w:spacing w:val="62"/>
        </w:rPr>
        <w:t> </w:t>
      </w:r>
      <w:hyperlink w:history="true" r:id="rId20">
        <w:r>
          <w:rPr>
            <w:rFonts w:ascii="Microsoft YaHei" w:hAnsi="Microsoft YaHei" w:eastAsia="Microsoft YaHei" w:cs="Microsoft YaHei"/>
            <w:sz w:val="14"/>
            <w:szCs w:val="14"/>
            <w:color w:val="222222"/>
          </w:rPr>
          <w:t>京ICP备05002860号</w:t>
        </w:r>
      </w:hyperlink>
      <w:r>
        <w:rPr>
          <w:rFonts w:ascii="Microsoft YaHei" w:hAnsi="Microsoft YaHei" w:eastAsia="Microsoft YaHei" w:cs="Microsoft YaHei"/>
          <w:sz w:val="14"/>
          <w:szCs w:val="14"/>
          <w:color w:val="222222"/>
          <w:spacing w:val="20"/>
          <w:w w:val="101"/>
        </w:rPr>
        <w:t>  </w:t>
      </w:r>
      <w:hyperlink w:history="true" r:id="rId21">
        <w:r>
          <w:rPr>
            <w:sz w:val="14"/>
            <w:szCs w:val="14"/>
            <w:position w:val="-7"/>
          </w:rPr>
          <w:drawing>
            <wp:inline distT="0" distB="0" distL="0" distR="0">
              <wp:extent cx="136652" cy="136652"/>
              <wp:effectExtent l="0" t="0" r="0" b="0"/>
              <wp:docPr id="10" name="IM 10"/>
              <wp:cNvGraphicFramePr/>
              <a:graphic>
                <a:graphicData uri="http://schemas.openxmlformats.org/drawingml/2006/picture">
                  <pic:pic>
                    <pic:nvPicPr>
                      <pic:cNvPr id="10" name="IM 10"/>
                      <pic:cNvPicPr/>
                    </pic:nvPicPr>
                    <pic:blipFill>
                      <a:blip r:embed="rId22"/>
                      <a:stretch>
                        <a:fillRect/>
                      </a:stretch>
                    </pic:blipFill>
                    <pic:spPr>
                      <a:xfrm rot="0">
                        <a:off x="0" y="0"/>
                        <a:ext cx="136652" cy="136652"/>
                      </a:xfrm>
                      <a:prstGeom prst="rect">
                        <a:avLst/>
                      </a:prstGeom>
                    </pic:spPr>
                  </pic:pic>
                </a:graphicData>
              </a:graphic>
            </wp:inline>
          </w:drawing>
        </w:r>
        <w:r>
          <w:rPr>
            <w:rFonts w:ascii="Microsoft YaHei" w:hAnsi="Microsoft YaHei" w:eastAsia="Microsoft YaHei" w:cs="Microsoft YaHei"/>
            <w:sz w:val="14"/>
            <w:szCs w:val="14"/>
            <w:color w:val="222222"/>
            <w:spacing w:val="-37"/>
          </w:rPr>
          <w:t> </w:t>
        </w:r>
        <w:r>
          <w:rPr>
            <w:rFonts w:ascii="Microsoft YaHei" w:hAnsi="Microsoft YaHei" w:eastAsia="Microsoft YaHei" w:cs="Microsoft YaHei"/>
            <w:sz w:val="14"/>
            <w:szCs w:val="14"/>
            <w:color w:val="222222"/>
          </w:rPr>
          <w:t>京公网安备11010202000006号</w:t>
        </w:r>
      </w:hyperlink>
    </w:p>
    <w:p>
      <w:pPr>
        <w:ind w:firstLine="6144"/>
        <w:spacing w:before="64"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spacing w:val="-1"/>
        </w:rPr>
        <w:t>技术支持：财政部信息网络中心</w:t>
      </w:r>
    </w:p>
    <w:p>
      <w:pPr>
        <w:ind w:firstLine="5343"/>
        <w:spacing w:before="78"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spacing w:val="-1"/>
        </w:rPr>
        <w:t>中华人民共和国财政部</w:t>
      </w:r>
      <w:r>
        <w:rPr>
          <w:rFonts w:ascii="Microsoft YaHei" w:hAnsi="Microsoft YaHei" w:eastAsia="Microsoft YaHei" w:cs="Microsoft YaHei"/>
          <w:sz w:val="14"/>
          <w:szCs w:val="14"/>
          <w:color w:val="222222"/>
          <w:spacing w:val="5"/>
        </w:rPr>
        <w:t>  </w:t>
      </w:r>
      <w:r>
        <w:rPr>
          <w:rFonts w:ascii="Microsoft YaHei" w:hAnsi="Microsoft YaHei" w:eastAsia="Microsoft YaHei" w:cs="Microsoft YaHei"/>
          <w:sz w:val="14"/>
          <w:szCs w:val="14"/>
          <w:color w:val="222222"/>
          <w:spacing w:val="-1"/>
        </w:rPr>
        <w:t>版权所有，如需转载，请注明来源</w:t>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ind w:firstLine="539"/>
        <w:spacing w:before="46" w:line="218" w:lineRule="exact"/>
        <w:rPr>
          <w:rFonts w:ascii="Arial" w:hAnsi="Arial" w:eastAsia="Arial" w:cs="Arial"/>
          <w:sz w:val="16"/>
          <w:szCs w:val="16"/>
        </w:rPr>
      </w:pPr>
      <w:r>
        <w:rPr>
          <w:rFonts w:ascii="Arial" w:hAnsi="Arial" w:eastAsia="Arial" w:cs="Arial"/>
          <w:sz w:val="16"/>
          <w:szCs w:val="16"/>
          <w:spacing w:val="-1"/>
        </w:rPr>
        <w:t>kjs.mof.gov.cn/zhengcejiedu/202201/t20220117_3782893.htm</w:t>
      </w:r>
      <w:r>
        <w:rPr>
          <w:rFonts w:ascii="Arial" w:hAnsi="Arial" w:eastAsia="Arial" w:cs="Arial"/>
          <w:sz w:val="16"/>
          <w:szCs w:val="16"/>
        </w:rPr>
        <w:t>                                                                                                                                            </w:t>
      </w:r>
      <w:r>
        <w:rPr>
          <w:rFonts w:ascii="Arial" w:hAnsi="Arial" w:eastAsia="Arial" w:cs="Arial"/>
          <w:sz w:val="16"/>
          <w:szCs w:val="16"/>
          <w:spacing w:val="-1"/>
        </w:rPr>
        <w:t>5/5</w:t>
      </w:r>
    </w:p>
    <w:sectPr>
      <w:type w:val="continuous"/>
      <w:pgSz w:w="11900" w:h="16839"/>
      <w:pgMar w:top="293" w:right="0" w:bottom="0" w:left="0" w:header="0" w:footer="0" w:gutter="0"/>
      <w:cols w:equalWidth="0" w:num="1">
        <w:col w:w="11900" w:space="0"/>
      </w:cols>
    </w:sectPr>
  </w:body>
</w:document>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rPr>
        <w:rFonts w:ascii="SimSun"/>
        <w:sz w:val="21"/>
      </w:rPr>
    </w:pPr>
    <w:r>
      <w:drawing>
        <wp:anchor distT="0" distB="0" distL="0" distR="0" simplePos="0" relativeHeight="251658240" behindDoc="0" locked="0" layoutInCell="0" allowOverlap="1">
          <wp:simplePos x="0" y="0"/>
          <wp:positionH relativeFrom="page">
            <wp:posOffset>368299</wp:posOffset>
          </wp:positionH>
          <wp:positionV relativeFrom="page">
            <wp:posOffset>368300</wp:posOffset>
          </wp:positionV>
          <wp:extent cx="6832600" cy="9968762"/>
          <wp:effectExtent l="0" t="0" r="0" b="0"/>
          <wp:wrapNone/>
          <wp:docPr id="3" name="IM 3"/>
          <wp:cNvGraphicFramePr/>
          <a:graphic>
            <a:graphicData uri="http://schemas.openxmlformats.org/drawingml/2006/picture">
              <pic:pic>
                <pic:nvPicPr>
                  <pic:cNvPr id="3" name="IM 3"/>
                  <pic:cNvPicPr/>
                </pic:nvPicPr>
                <pic:blipFill>
                  <a:blip r:embed="rId1"/>
                  <a:stretch>
                    <a:fillRect/>
                  </a:stretch>
                </pic:blipFill>
                <pic:spPr>
                  <a:xfrm rot="0">
                    <a:off x="0" y="0"/>
                    <a:ext cx="6832600" cy="9968762"/>
                  </a:xfrm>
                  <a:prstGeom prst="rect">
                    <a:avLst/>
                  </a:prstGeom>
                </pic:spPr>
              </pic:pic>
            </a:graphicData>
          </a:graphic>
        </wp:anchor>
      </w:drawing>
    </w: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SimSun"/>
        <w:sz w:val="2"/>
      </w:rPr>
    </w:pPr>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color w:val="000000"/>
        <w:kern w:val="0"/>
        <w:snapToGrid w:val="0"/>
      </w:rPr>
    </w:rPrDefault>
  </w:docDefaults>
  <w:style w:type="paragraph" w:styleId="1" w:default="1">
    <w:name w:val="Normal"/>
    <w:semiHidden/>
    <w:qFormat/>
    <w:pPr>
      <w:spacing w:line="240" w:lineRule="w:auto"/>
      <w:jc w:val="left"/>
      <w:autoSpaceDE w:val="0"/>
      <w:autoSpaceDN w:val="0"/>
      <w:adjustRightInd w:val="0"/>
      <w:snapToGrid w:val="0"/>
      <w:kinsoku w:val="0"/>
      <w:textAlignment w:val="baseline"/>
    </w:pPr>
    <w:rPr>
      <w:color w:val="000000"/>
      <w:kern w:val="0"/>
      <w:snapToGrid w:val="0"/>
      <w:noProof w:val="1"/>
    </w:rPr>
  </w:style>
  <w:style w:type="table" w:styleId="2" w:default="1">
    <w:name w:val="Table Normal"/>
    <w:semiHidden/>
    <w:unhideWhenUsed/>
    <w:qFormat/>
    <w:tblPr>
      <w:tblCellMar>
        <w:left w:w="0" w:type="dxa"/>
        <w:right w:w="0" w:type="dxa"/>
        <w:bottom w:w="0" w:type="dxa"/>
        <w:top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hyperlink" Target="http://kjs.mof.gov.cn/zhengcejiedu/" TargetMode="External"/><Relationship Id="rId5" Type="http://schemas.openxmlformats.org/officeDocument/2006/relationships/hyperlink" Target="http://kjs.mof.gov.cn/" TargetMode="External"/><Relationship Id="rId4" Type="http://schemas.openxmlformats.org/officeDocument/2006/relationships/hyperlink" Target="http://www.mof.gov.cn/" TargetMode="External"/><Relationship Id="rId3" Type="http://schemas.openxmlformats.org/officeDocument/2006/relationships/hyperlink" Target="javascript:void(0)" TargetMode="External"/><Relationship Id="rId24" Type="http://schemas.openxmlformats.org/officeDocument/2006/relationships/styles" Target="styles.xml"/><Relationship Id="rId23" Type="http://schemas.openxmlformats.org/officeDocument/2006/relationships/settings" Target="settings.xml"/><Relationship Id="rId22" Type="http://schemas.openxmlformats.org/officeDocument/2006/relationships/image" Target="media/image10.png"/><Relationship Id="rId21" Type="http://schemas.openxmlformats.org/officeDocument/2006/relationships/hyperlink" Target="http://www.beian.gov.cn/portal/registerSystemInfo?recordcode=11010202000006" TargetMode="External"/><Relationship Id="rId20" Type="http://schemas.openxmlformats.org/officeDocument/2006/relationships/hyperlink" Target="https://beian.miit.gov.cn/#/Integrated/index" TargetMode="External"/><Relationship Id="rId2" Type="http://schemas.openxmlformats.org/officeDocument/2006/relationships/image" Target="media/image2.png"/><Relationship Id="rId19" Type="http://schemas.openxmlformats.org/officeDocument/2006/relationships/hyperlink" Target="http://www.mof.gov.cn/gywm/" TargetMode="External"/><Relationship Id="rId18" Type="http://schemas.openxmlformats.org/officeDocument/2006/relationships/image" Target="media/image9.png"/><Relationship Id="rId17" Type="http://schemas.openxmlformats.org/officeDocument/2006/relationships/hyperlink" Target="http://www.mof.gov.cn/wzdt/" TargetMode="External"/><Relationship Id="rId16" Type="http://schemas.openxmlformats.org/officeDocument/2006/relationships/hyperlink" Target="javascript:close()" TargetMode="External"/><Relationship Id="rId15" Type="http://schemas.openxmlformats.org/officeDocument/2006/relationships/hyperlink" Target="javascript:window.print()" TargetMode="External"/><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hyperlink" Target="http://kjs.mof.gov.cn/gongzuodongtai/202111/t20211126_3769461.htm" TargetMode="Externa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docProps/app.xml><?xml version="1.0" encoding="utf-8"?>
<ap:Properties xmlns:vt="http://schemas.openxmlformats.org/officeDocument/2006/docPropsVTypes" xmlns:ap="http://schemas.openxmlformats.org/officeDocument/2006/extended-properties">
  <ap:Application>Mozilla/5.0 (Windows NT 10.0; WOW64) AppleWebKit/537.36 (KHTML, like Gecko) Chrome/86.0.4240.198 Safari/537.36 QIHU 360SE</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2022-04-27T01:05:04Z</dcterms:created>
</cp:coreProperties>
</file>

<file path=docProps/custom.xml><?xml version="1.0" encoding="utf-8"?>
<op:Properties xmlns:vt="http://schemas.openxmlformats.org/officeDocument/2006/docPropsVTypes" xmlns:op="http://schemas.openxmlformats.org/officeDocument/2006/custom-properties">
  <op:property fmtid="{E94486CC-9CD1-11EB-B3E1-52540006F7B4}" pid="2" name="CRO">
    <vt:lpwstr>wqlLaW5nc29mdCBQREYgdG8gV1BTIDY1</vt:lpwstr>
  </op:property>
  <op:property fmtid="{E94486CC-9CD1-11EB-B3E1-52540006F7B4}" pid="3" name="Created">
    <vt:filetime>2022-04-27T16:21:12</vt:filetime>
  </op:property>
</op:Properties>
</file>